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color w:val="000000"/>
          <w:sz w:val="32"/>
          <w:szCs w:val="32"/>
        </w:rPr>
      </w:pPr>
      <w:bookmarkStart w:id="0" w:name="_GoBack"/>
      <w:bookmarkEnd w:id="0"/>
      <w:r>
        <w:rPr>
          <w:rFonts w:hint="eastAsia" w:ascii="仿宋_GB2312" w:hAnsi="宋体" w:eastAsia="仿宋_GB2312" w:cs="Times New Roman"/>
          <w:color w:val="000000"/>
          <w:sz w:val="32"/>
          <w:szCs w:val="32"/>
        </w:rPr>
        <w:t xml:space="preserve">                        </w:t>
      </w:r>
    </w:p>
    <w:p>
      <w:pPr>
        <w:jc w:val="center"/>
        <w:rPr>
          <w:rFonts w:ascii="仿宋_GB2312" w:hAnsi="宋体" w:eastAsia="仿宋_GB2312" w:cs="Times New Roman"/>
          <w:color w:val="000000"/>
          <w:sz w:val="32"/>
          <w:szCs w:val="32"/>
        </w:rPr>
      </w:pPr>
    </w:p>
    <w:p>
      <w:pPr>
        <w:jc w:val="center"/>
        <w:rPr>
          <w:rFonts w:ascii="仿宋_GB2312" w:hAnsi="宋体" w:eastAsia="仿宋_GB2312" w:cs="Times New Roman"/>
          <w:color w:val="000000"/>
          <w:sz w:val="32"/>
          <w:szCs w:val="32"/>
        </w:rPr>
      </w:pPr>
    </w:p>
    <w:p>
      <w:pPr>
        <w:jc w:val="center"/>
        <w:rPr>
          <w:rFonts w:ascii="仿宋_GB2312" w:hAnsi="宋体" w:eastAsia="仿宋_GB2312" w:cs="Times New Roman"/>
          <w:color w:val="000000"/>
          <w:sz w:val="32"/>
          <w:szCs w:val="32"/>
        </w:rPr>
      </w:pPr>
    </w:p>
    <w:p>
      <w:pPr>
        <w:jc w:val="center"/>
        <w:rPr>
          <w:rFonts w:ascii="仿宋_GB2312" w:hAnsi="宋体" w:eastAsia="仿宋_GB2312" w:cs="Times New Roman"/>
          <w:color w:val="000000"/>
          <w:sz w:val="32"/>
          <w:szCs w:val="32"/>
        </w:rPr>
      </w:pPr>
    </w:p>
    <w:p>
      <w:pPr>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湖师医学发</w:t>
      </w:r>
      <w:r>
        <w:rPr>
          <w:rFonts w:hint="eastAsia" w:ascii="仿宋_GB2312" w:hAnsi="Times New Roman" w:eastAsia="仿宋_GB2312" w:cs="Times New Roman"/>
          <w:sz w:val="32"/>
          <w:szCs w:val="32"/>
        </w:rPr>
        <w:t>【</w:t>
      </w:r>
      <w:r>
        <w:rPr>
          <w:rFonts w:hint="eastAsia" w:ascii="仿宋_GB2312" w:hAnsi="宋体" w:eastAsia="仿宋_GB2312" w:cs="Times New Roman"/>
          <w:color w:val="000000"/>
          <w:sz w:val="32"/>
          <w:szCs w:val="32"/>
        </w:rPr>
        <w:t>2017</w:t>
      </w:r>
      <w:r>
        <w:rPr>
          <w:rFonts w:hint="eastAsia" w:ascii="仿宋_GB2312" w:hAnsi="Times New Roman" w:eastAsia="仿宋_GB2312" w:cs="Times New Roman"/>
          <w:sz w:val="32"/>
          <w:szCs w:val="32"/>
        </w:rPr>
        <w:t>】</w:t>
      </w:r>
      <w:r>
        <w:rPr>
          <w:rFonts w:hint="eastAsia" w:ascii="仿宋_GB2312" w:hAnsi="宋体" w:eastAsia="仿宋_GB2312" w:cs="Times New Roman"/>
          <w:color w:val="000000"/>
          <w:sz w:val="32"/>
          <w:szCs w:val="32"/>
        </w:rPr>
        <w:t>14号</w:t>
      </w:r>
    </w:p>
    <w:p>
      <w:pPr>
        <w:tabs>
          <w:tab w:val="left" w:pos="3435"/>
        </w:tabs>
        <w:adjustRightInd w:val="0"/>
        <w:snapToGrid w:val="0"/>
        <w:spacing w:line="300" w:lineRule="auto"/>
        <w:rPr>
          <w:rFonts w:ascii="黑体" w:hAnsi="华文中宋" w:eastAsia="黑体" w:cs="Times New Roman"/>
          <w:bCs/>
          <w:color w:val="000000"/>
          <w:sz w:val="36"/>
          <w:szCs w:val="36"/>
        </w:rPr>
      </w:pPr>
    </w:p>
    <w:p>
      <w:pPr>
        <w:spacing w:line="360" w:lineRule="auto"/>
        <w:jc w:val="center"/>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医学院·护理学院</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本科教学改革的总体思路与实施方案</w:t>
      </w:r>
    </w:p>
    <w:p>
      <w:pPr>
        <w:tabs>
          <w:tab w:val="left" w:pos="3435"/>
        </w:tabs>
        <w:adjustRightInd w:val="0"/>
        <w:snapToGrid w:val="0"/>
        <w:spacing w:line="300" w:lineRule="auto"/>
        <w:rPr>
          <w:rFonts w:ascii="宋体" w:hAnsi="宋体" w:eastAsia="宋体" w:cs="Times New Roman"/>
          <w:b/>
          <w:bCs/>
          <w:color w:val="000000"/>
          <w:sz w:val="44"/>
          <w:szCs w:val="44"/>
        </w:rPr>
      </w:pPr>
    </w:p>
    <w:p>
      <w:pPr>
        <w:tabs>
          <w:tab w:val="left" w:pos="3435"/>
        </w:tabs>
        <w:adjustRightInd w:val="0"/>
        <w:snapToGrid w:val="0"/>
        <w:spacing w:line="300" w:lineRule="auto"/>
        <w:ind w:left="34" w:leftChars="1" w:hanging="32" w:hangingChars="10"/>
        <w:jc w:val="left"/>
        <w:rPr>
          <w:rFonts w:ascii="仿宋_GB2312" w:hAnsi="宋体" w:eastAsia="仿宋_GB2312" w:cs="Times New Roman"/>
          <w:b/>
          <w:bCs/>
          <w:color w:val="000000"/>
          <w:sz w:val="32"/>
          <w:szCs w:val="32"/>
        </w:rPr>
      </w:pPr>
      <w:r>
        <w:rPr>
          <w:rFonts w:hint="eastAsia" w:ascii="仿宋_GB2312" w:hAnsi="宋体" w:eastAsia="仿宋_GB2312" w:cs="Times New Roman"/>
          <w:b/>
          <w:bCs/>
          <w:color w:val="000000"/>
          <w:sz w:val="32"/>
          <w:szCs w:val="32"/>
        </w:rPr>
        <w:t>各系、室：</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按照湖州师范学院“校地共育”的办学模式，培养高素质应用型人才的培养定位，和实施质量立校、人才强校、特色兴校的发展战略，主动适应人民群众不断增长的卫生服务需求，卫生服务模式的重大变革，不断更新医学教育观念。在人才培养模式、课程体系、教学内容、教学方法、教学评价等诸多领域与社会发展和人民卫生服务需求不相适应的诸多方面，深入进行改革，全面提高教学质量，逐步实现学院“十三五”发展规划目标，培养一大批敬业爱岗、基础扎实、胜任岗位、富有潜能的高素质应用型医护专门人才，更好地服务于湖州及长三角区域社会经济卫生事业的发展和建设。</w:t>
      </w:r>
    </w:p>
    <w:p>
      <w:pPr>
        <w:spacing w:line="360" w:lineRule="auto"/>
        <w:ind w:firstLine="643" w:firstLineChars="200"/>
        <w:rPr>
          <w:rFonts w:ascii="仿宋_GB2312" w:eastAsia="仿宋_GB2312" w:hAnsiTheme="majorEastAsia"/>
          <w:b/>
          <w:sz w:val="32"/>
          <w:szCs w:val="32"/>
        </w:rPr>
      </w:pPr>
      <w:r>
        <w:rPr>
          <w:rFonts w:hint="eastAsia" w:ascii="仿宋_GB2312" w:eastAsia="仿宋_GB2312" w:hAnsiTheme="majorEastAsia"/>
          <w:b/>
          <w:sz w:val="32"/>
          <w:szCs w:val="32"/>
        </w:rPr>
        <w:t>一、指导思想和工作原则</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以邓小平理论、“三个代表”重要思想、科学发展观和习近平新时代中国特色社会主义思想为指导，深入贯彻落实国家和省中长期教育改革和发展规划纲要及医药卫生体制改革意见，遵循高等教育规律，按照国家《关于医教协同深化临床医学人才培养改革的意见》精神，开展以岗位胜任力为导向医学教育，进一步深化医学教育改革。着力于人才培养模式、课程体系及教学方法的重点突破；着力于医学生职业道德意识和临床实践能力的提高；着力于学生个性发展、自主学习能力和创新思维培养；着力于医学生知识、能力和素质协调发展，全面提高医学人才培养质量。按照整体设计，分步实施，重点突破，大力推进的工作原则，深化学院本科医学教育改革与建设工作。</w:t>
      </w:r>
    </w:p>
    <w:p>
      <w:pPr>
        <w:spacing w:line="360" w:lineRule="auto"/>
        <w:ind w:firstLine="643" w:firstLineChars="200"/>
        <w:rPr>
          <w:rFonts w:ascii="仿宋_GB2312" w:eastAsia="仿宋_GB2312" w:hAnsiTheme="majorEastAsia"/>
          <w:b/>
          <w:sz w:val="32"/>
          <w:szCs w:val="32"/>
        </w:rPr>
      </w:pPr>
      <w:r>
        <w:rPr>
          <w:rFonts w:hint="eastAsia" w:ascii="仿宋_GB2312" w:eastAsia="仿宋_GB2312" w:hAnsiTheme="majorEastAsia"/>
          <w:b/>
          <w:sz w:val="32"/>
          <w:szCs w:val="32"/>
        </w:rPr>
        <w:t>二、改革目标和主要任务</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借鉴国际医学教育标准和发达国家先进经验，参照教育部医学专业认证和护理学专业认证的要求，围绕学校办学定位和办学理念全面修订我院新一轮各专业人才培养方案。更新教育观念，改革人才培养模式；调整课程体系，创新教育教学方法和考核评价方法；促进教师队伍整体素质不断提高；实践教学改革进一步深化，学生的自主学习与实践能力显著增强，大学生创新性试验计划、学科竞赛等方面取得显著成效；教学质量监控体系进一步完善，信息化管理系统科学高效运行等。</w:t>
      </w:r>
    </w:p>
    <w:p>
      <w:pPr>
        <w:spacing w:line="360" w:lineRule="auto"/>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三、改革的重点和主要措施</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（一）以医疗卫生事业的发展需求为导向加强专业建设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巩固学院护理学科专业传统优势，着力培育医学品牌专业，通过重点培育、加大建设、强化优势、突出特色，将现有的临床医学、护理学、口腔医学专业建设成省内外具有较高影响度和示范性的品牌特色专业。优化专业结构，“十三五”期间培育护理专业形成水平较高，特色突出，优势明显的本科专业，力争能够达到国家级特色专业和建设点的要求。</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加强专业评估和质量监控。以迎接教育部本科教学审核评估为契机，根据学校专业评估检查制度，每年进行一次评估，评估结果将作为建设与发展的重要依据，形成新专业发展的良性竞争机制。国家级特色专业建设点、省级特色专业以及校级重点建设专业，要通过专业评估促进专业建设。加强专业质量监控，实现中期检查和验收的制度化，充分发挥其应有的示范带头作用，提升学院专业整体建设水平。</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（二）进一步优化人才培养方案</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1．人才培养目标定位应准确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各系、部及相关部门要不断地对行业与用人单位进行广泛的调研，根据用人单位对本科层次应用型人才的具体要求，对培养什么样的人，怎样培养人进行深入研究，确立面向地方、服务基层的办学观，德育为先、全面发展的育人观，能力为主、素质为重的质量观，不断更新教育思想观念，发展“医学与人文相通、博学与专精兼取、理论与实践并重”的教育思想，创新人才培养模式，优化人才培养方案，深化教学改革，构建培养“校地共育”高素质应用型人才的课程体系与实践教学体系。加强教学建设和教学质量监控，努力办好每一个专业，教好每一个学生，不断提高人才培养质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2．进一步改革和完善课程体系</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要建立起与学校整体办学水平相匹配及与人才培养模式相适应的满足学生个性化学习需求的课程体系，提升课程建设质量和建设水平，促进课程设置多元化发展，加强学科综合课程建设，增加选修课比例，提高选修课建设质量。二要推动广泛利益方参入课程体系改革，调整完善学院专业建设指导委员会，通过开展教育思想大讨论促使用人单位，广大师生参入到课程体系改革和实践中来，共同构建改革成果的收益。三根据我院人才培养的目标及实际情况大胆地探索课程及内容的有效整合（如临床医学专业实施基础与基础、基础与临床、临床与临床、临床与预防医学的课程及内容的纵向或横向整合），构建融会贯通，紧密结合，有机联系的课程体系。改变课程内容陈旧，分割过细或简单拼凑的状况，避免脱节和不必要的重复的状况，对于三个专业间的共同基础课，要加强内容和体系上的统筹和协调。四要处理好理论教学和实践教学的关系。新一轮（2017版）培养方案进一步加大实践教学比重，尝试开设基础及临床的创新课程，独立设置早期接触临床、早期进入社区、早期科研训练、社区卫生服务及PBL、CBL等实践教学环节，进一步丰富实践教学内容、方式和途径。五要鼓励学生积极申报大学生创新实验计划项目，邀请老师参与指导，鼓励教师请学生助理参与科研课题进行研究，出台《医学院、护理学院大学生第二课堂学分的认定与管理办法》，明确大学生参加科技活动在培养方案中的学分数。六要处理好课内教学与课外指导的关系，整合课程内容，运用网络等现代教育技术手段，减少课内学时，加强课外指导，明确工作量，提高教师教学和学生学习的效率和效果等。</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（三）加大教学内容及教学方法的改革，积极推进学生自主性学习</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1．更新教育教学观念，注重强化学生自主学习能力和终身学习能力培养。</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在全院范围内推动以学生自主学习能力和终生学习能力培养为中心的改革，以国家卓越医生培养计划项目为抓手，将自主学习列入人才培养方案，在课程的设置及教学的安排上给学生创造自学的空间。各教研室各门课程都应有选择性的针对不同的内容及班级开展多种教学方法的研究和改革，提供好自主学习的内容、资源和环境，注重提高自主学习能力培养，如课前布置预习作业、课堂加强互动、课后布置阅读材料、增加小组讨论等方式提高课堂效果。同时学习测量方式也可以改为形成性评价与终结性评价相结合，从一考定音改为课前预测、课后小测验、课堂提问、小组讨论、实验、实习操作和期末考试相结合的形成性评价与终结性评价的结合，并建立切实可行的考核、评价及指导和监控制度，以保证学生的自主学习达到教学的目标。</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2．加大课程建设的力度，改革课程教学内容</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改革的总体思路要以培养学生的创新精神和实践能力为重点，本着加强基础、拓宽口径、整体优化学生知识结构的原则，围绕人才培养方案，不断推进教学内容与课程体系改革，加强课程体系的整合与优化，加强教学方法和教学手段的改革研究，加强教材的选用与建设。加强优秀教学资源建设，继续完善教学资源平台，提高教学资源共享程度和使用效率，将学科新知识、新成就、新技术和教学改革成果及时引入教材建设和课程建设中。每年遴选10门左右院级重点建设课程，每年遴选3-5门校级精品课程或精品资源共享课，五年内力争建设成3门省级精品课程，争取国家级精品课程有突破。力争每年出版主编或参编教材2-4部，五年内达到15部左右，其中国家规划教材3-5部。</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具体课程教学内容改革举措，一是坚持“先进、有用、有效”的原则。“先进”即反映本学科应用领域的最新成果和前沿要求，同时将医学行业和养老产业发展形成的新知识、新成果、新技术引入教学内容。“有用”即突出知识的应用价值，不求知识的全面系统，而求理论知识与实践能力的最佳结合，能够熟练运用知识与技术解决实际问题。“有效”即符合学生的认知水平，学生能够学懂学会。二是采用“删、减、并、留、增”的方法，加大教学内容革新。删除陈旧知识和脱离学生能力培养和社会需求的知识内容，精减过于繁杂的内容，对有利于学生职业能力培养的教学内容进行合并、整合，保留基本理论知识和有利于学生能力发展的内容，增加适应就业需要的内容和国内外研究的最新成果。</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3．大力开展教学方法的改革</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是通过教学方式改革促进学生学习方式的转变。改变教师讲学生听的被动式学习方式，形成“教师导学＋学生自主学习+师生合作研讨”的学习方式。二是采用探究教学、案例教学、模拟教学、PBL教学、现场教学、专题讲座、讨论辩论和自主学习等多样化的教学方法。三是采用问题主导型教学模式、体验—反思型教学模式、专项技能训练模式等教学模式，推进理论主导型教学模式向理论与能力并重型教学模式转变。开展“教学做合一”实践教学，实现教师在实践活动中教，学生在实践活动中学，教师边讲边做，学生边学边干。充分调动学生学习的积极性和主动性，培养学生提出问题、分析问题和解决问题的能力。在教学实施方案中主要体现“导入—讲授—讨论—成果评价—成绩评定”等方面有机结合。</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每位教师根据自己所授课程的特色结合社会发展需求、学校特色、学生学习阶段性特点等实际情况，在教学方法改革上有新举措，积极采用启发式、问题式、交互式、研究性、病例讨论式、临床技能模拟、“PBL”等多种方法开展教学，各系、部要做好学年度教育教学改革方案计划，期末要有相关总结，真正让教学改革做到有成效、有经验、有总结、有特色。</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4．建立网络教育教学自主学习平台</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是利用学校图书馆医学文献资源库，加强课程资源建设。二是各系要充分利用和丰富网络、录像等各种教学平台和资源，构建多渠道、立体化的学习方式。三是完善更新学院特色的交互式网络教学平台，如不断更新精品课程、精品资源共享课的网络资源，为广大师生提供网络教学的有效环境，扩大教师的信息输出量，增强学生的理解能力，调动学生的学习兴趣。四是大力开发新的课程资源，鼓励教师结合科研成果开设跨学科任意选修课，采取多种形式，聘请兄弟高校、医院、科研院所等相关专业的教师和科技人员、特别是具有教育教学实践经验的优秀教师到我校开设医学相关课程。</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（四）加强考试改革力度</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是加强对教师开展考试理论的培训，提高教师命题、试卷分析质量。二是建立形成性评价和终结性评价相结合的学生学习质量评定体系，积极开展考试方法的研究，应尽量构筑有利于学生发挥创新能力的空间。在形成性评价的实施中要求各任课教师在教学过程中，应根据不同阶段的教学要求，灵活运用提问、讨论、作业、小论文、小测试、小组讨论等方式了解学生学习状况并及时总结反馈，评价学生的能力水平。在终结性评价实施中应改变大部分课程“一次性闭卷考试”的状况，针对专业、课程特点和不同的知识、能力考核需要，灵活运用笔试、口试、操作、闭卷、开卷及客观考试、问题情景考试、小论文等多种考试形式和考试方法（如多站的客观结构化临床考试、计算机模拟病例考试等），并对考核类型及成绩评定方法有明确规定和说明，以便全面评价学生的学习质量和分析与解决问题能力、获取知识能力及人际交流能力。要结合形成性与终结性评价考核进行综合评定，并逐步加大形成性评价在总评定中的比例，实行百分制、等级制、评语相结合的评分方法。四是构建考试分析—反馈—改进机制，认真做好各类考试整理及分析工作，每次考试结束各教研室要组织老师及时总结找出问题反馈给学生，作为教师改进教学工作和促进学生学习重要措施。</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（五）大力加强实践教学改革</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学院要加强对实践教学的领导，结合不同专业的特点和需要，进一步调整理论教学与实践教学的比例。在坚持“厚基础、宽专业”的原则下，一要提高实践教学的比例，医学类专业理论与实践教学（不含毕业实习）学时（学分）比例应逐步达到30％，其中临床医学专业临床阶段教学中主干课程课间见习与理论授课的比例逐步达到1:1。二要增加实践教学的环节。实践教学环节应形式多样，课内、课外结合，包括教学实验、课程设计、暑期医疗服务实践、早期接触临床、社会调查研究、课外科技活动、科研训练、技能培训学科竞赛、毕业实习等。三要制订相对独立的实践教学计划。围绕学生必须具备的能力和技能来设计每学年实践教学环节，统筹安排，并用教学文件的形式固定下来。采取有效措施加强课程见习、专业实习、实验教学等各实践环节的管理与检查，保证实践教学的质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根据培养学生动手和实践能力的需要，不断改善实验教学条件，采用多种方法改造和更新实验教学设备，健全开放性实验室管理机制，努力提高实验设备的共享程度和使用效率，实现科研实验室、科研条件和仪器设备向本科生开放，为教学提供必要的、充分的实验条件，为培养学生实验动手能力提供良好的平台。各系部要进一步加强科研和实验教学的结合，逐步提升综合性、设计性实验的层次和比例，积极推进实验教学内容、方法、手段及人才培养模式的改革与创新。要加强实验教学师资队伍建设，通过政策引导，吸引高水平教师从事实验教学工作。要积极创造条件，争取五年的时间，有1-2个实验室分中心建设达到省级或国家级实验教学示范中心的标准要求，并以此带动学院实验教学整体水平的全面提升。</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不断完善各专业实践教学基地建设。按照“分类指导，突出特色”的原则，建立既满足需要又具有我校自身特色的实践教学基地网。其中医学专业教学基地应着重在规范管理、提高基地内涵上下功夫；护理专业应着重挖掘教学基地服务教学的功能，积极探索“产、学、研”相结合的建设模式。同时有序地选择条件较好的社区卫生服务中心基地进行重点建设，积极培育发展为学院社区医学、老年护理本科生、研究生教学基地。制定学院实习实践基地建设与管理办法，逐步完善学校各类教学基地的建设标准，改善教学基地的条件，促进教学基地内涵建设，充分发挥教学基地的教学职能。要不断加强对教学基地的指导和检查评估，利用学院医学教育教师成长中心的作用，强化基地师资的教学培训，建立相对稳定的带教师资队伍，健全实习教学管理规章制度，确保各专业实践教学的质量。</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（六）全面实施大学生创新创业教育计划</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开展创新创业教育，是深化高等教育教学改革，培养学生创新精神和实践能力的重要途径；是促进高校毕业生充分就业的重要措施。学院创新创业教育要面向全体学生，融入人才培养全过程。在专业教育基础上，以转变教育思想、更新教育观念为先导，以提升学生的社会责任感、创新精神、创业意识和创业能力为核心，以改革人才培养模式和课程体系为重点，大力推进创新创业教育工作，不断提高人才培养质量。为此，一是加强创新创业教育课程体系建设。把创新创业教育有效纳入专业教育与文化素质教育教学计划和学分体系，建立多层次的创新创业教育课程体系。二是加强创新创业师资队伍建设。引导各专业教师、就业指导教师积极开展创新创业教育方面的理论和案例研究，积极从社会各界聘请创业成功人士、专家学者等作为兼职教师，建立一支专兼结合的高素质创新创业教育教师队伍。三是要把创新创业实践作为创新创业教育的重要延伸，通过举办创新创业大赛、讲座、论坛、模拟实践等方式，丰富学生的创新创业知识和体验，提升学生的创新精神和创业能力。四是要建立创新创业教育教学质量监控系统。五是加强理论研究和经验交流。</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开展创新创业教育，要充分利用学院现有教学资源，利用好湖州市转换医学重点实验室平台，建立大学生创新创业项目基地和学科竞赛活动基地，争取更多的大学生创新创业训练实验项目，提供满足大学生创新创业活动需要的场所、设施、经费和相应的指导教师，为学生创新创业成果的发表、出版、推广应用提供支持和帮助。积极开展以学生为主体的创新性实验改革，培养学生的科研能力、团队协作意识和创新精神。</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进一步加强我院行业特色学院（老年健康促进学院、何康护理学院）的建设，依据我校办学特色，结合行业、社会养老发展对人才的需求，培养学生的各项专项技能，提高学生的综合素质和就业竞争力。</w:t>
      </w:r>
    </w:p>
    <w:p>
      <w:pPr>
        <w:spacing w:line="360" w:lineRule="auto"/>
        <w:ind w:firstLine="482" w:firstLineChars="150"/>
        <w:rPr>
          <w:rFonts w:ascii="仿宋_GB2312" w:hAnsi="仿宋" w:eastAsia="仿宋_GB2312"/>
          <w:b/>
          <w:sz w:val="32"/>
          <w:szCs w:val="32"/>
        </w:rPr>
      </w:pPr>
      <w:r>
        <w:rPr>
          <w:rFonts w:hint="eastAsia" w:ascii="仿宋_GB2312" w:hAnsi="仿宋" w:eastAsia="仿宋_GB2312"/>
          <w:b/>
          <w:sz w:val="32"/>
          <w:szCs w:val="32"/>
        </w:rPr>
        <w:t>（七）确保教学资源的投入，加大教育信息化建设力度</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着力加强现代教育技术与网络教学资源建设，加强对教师应用现代教育技术能力的培训与指导，为师生提供优质的网络教学条件与服务，提高学院优质数字化教学资源的拥有率、覆盖率、共享率和使用率。逐步实现各专业必修课程的教案、大纲、习题、实验、课程授课视频、教学文件以及参考资料等教学资源上网开放，为广大教师和学生提供免费享用的优质教育资源。广大教师要积极制作和使用多媒体课件，运用信息技术开展教学活动，培养及提高本科生通过计算机和多媒体课件学习的能力，以及利用网络资源进行学习的能力。</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（八）以提高教学质量为目的，加大教师队伍建设力度</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树立“办学以教师为本”的理念，关心和尊重教师，使教师自觉形成“爱岗敬业，从教为荣”的观念。完善医学教育发展中心（教师成长中心）要以全面提高教师数量和质量为师资队伍建设的核心，以改善教师队伍结构和培养骨干教师学科带头人为重点，不断优化师资队伍的年龄、学历、职称、学缘及专业知识结构。采取多种培养模式，全面提高教师的思想和业务素质。努力加强新办专业师资队伍建设，注意提升实验教师队伍的整体水平。</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建立健全中青年骨干教师能力培训机制，积极开展教师讲课比赛、观摩教学活动、采取国内外访问、研究生培养及进修等形式，提高中青年教师的教学水平，促进其在教学理论与实践教学、教材建设、课程建设等方面多出成果，增进师资交流如学科内、学科间、校际、国际交流，特别是加强学校的基础与临床教师之间的交流，并有效地促进本科教学水平的提高。</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依托护理优势学科，建设省内有影响力的学科专业团队。进一步提高教师的整体素质，着力培养和造就专业教学骨干以及学科带头人，不断优化人才结构，保障学院本科教学工作队伍的可持续发展。今后五年，要根据教学改革和教学任务需要，进一步整合与优化人才资源，努力建设若干个由教学水平高、学术造诣深并在兄弟院校具有一定影响的教学团队。要进一步建立健全激励机制，积极引导教师加大教学工作投入，争取更多的教学改革与研究的成果，要建立教师名师工程积极培育教学名师。</w:t>
      </w:r>
    </w:p>
    <w:p>
      <w:pPr>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（九）进一步加强教学管理，健全教育教学质量监控体系</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深入开展教学评估，切实提高教学管理水平。要根据学校本科人才培养目标的总体要求和学科专业发展的新成果，进一步健全和实施本科教学各环节的质量标准。在坚持开展“教研室（系、部）-学院—学校三级”教学评估的同时，认真实施校内学院教学工作评估、专业建设评估、课程建设评估、多媒体教学和网络教学评估、实验教学和实验室建设评估等，形成教学质量管理的长效机制。</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进一步完善教学质量监控和评价体系。要全面加强教学质量监控，建立用人单位、毕业生、教师、在校学生共同参与的内部质量保障与评价机制，切实贯彻课堂教学检查评估制度、实践教学巡视检查制度、教师全员听课制度、同行评议制度、学生意见反馈制度及教学督导制度等，实现人才培养工作的目标管理与过程管理的有机结合，不断完善具有医学院、护理学院特色的保证教学质量不断提高的长效工作机制。</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4160" w:firstLineChars="1300"/>
        <w:rPr>
          <w:rFonts w:ascii="仿宋_GB2312" w:hAnsi="仿宋" w:eastAsia="仿宋_GB2312"/>
          <w:sz w:val="32"/>
          <w:szCs w:val="32"/>
        </w:rPr>
      </w:pPr>
      <w:r>
        <w:rPr>
          <w:rFonts w:hint="eastAsia" w:ascii="仿宋_GB2312" w:hAnsi="仿宋" w:eastAsia="仿宋_GB2312"/>
          <w:sz w:val="32"/>
          <w:szCs w:val="32"/>
        </w:rPr>
        <w:t>湖州师范学院医学院、护理学院</w:t>
      </w:r>
    </w:p>
    <w:p>
      <w:pPr>
        <w:spacing w:line="360" w:lineRule="auto"/>
        <w:ind w:firstLine="4960" w:firstLineChars="1550"/>
        <w:rPr>
          <w:rFonts w:ascii="仿宋_GB2312" w:hAnsi="仿宋" w:eastAsia="仿宋_GB2312"/>
          <w:sz w:val="32"/>
          <w:szCs w:val="32"/>
        </w:rPr>
      </w:pPr>
      <w:r>
        <w:rPr>
          <w:rFonts w:hint="eastAsia" w:ascii="仿宋_GB2312" w:hAnsi="仿宋" w:eastAsia="仿宋_GB2312"/>
          <w:sz w:val="32"/>
          <w:szCs w:val="32"/>
        </w:rPr>
        <w:t>2017年11月28日</w:t>
      </w: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p>
      <w:pPr>
        <w:spacing w:line="360" w:lineRule="auto"/>
        <w:ind w:firstLine="4000" w:firstLineChars="1250"/>
        <w:rPr>
          <w:rFonts w:ascii="仿宋_GB2312" w:hAnsi="仿宋" w:eastAsia="仿宋_GB2312"/>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5" w:type="dxa"/>
            <w:tcBorders>
              <w:left w:val="nil"/>
              <w:right w:val="nil"/>
            </w:tcBorders>
            <w:shd w:val="clear" w:color="auto" w:fill="auto"/>
          </w:tcPr>
          <w:p>
            <w:pPr>
              <w:rPr>
                <w:rFonts w:ascii="仿宋_GB2312" w:hAnsi="Calibri" w:eastAsia="仿宋_GB2312" w:cs="Times New Roman"/>
                <w:sz w:val="28"/>
                <w:szCs w:val="28"/>
              </w:rPr>
            </w:pPr>
            <w:r>
              <w:rPr>
                <w:rFonts w:hint="eastAsia" w:ascii="仿宋_GB2312" w:hAnsi="Calibri" w:eastAsia="仿宋_GB2312" w:cs="Times New Roman"/>
                <w:sz w:val="28"/>
                <w:szCs w:val="28"/>
              </w:rPr>
              <w:t>抄送：校教务处，</w:t>
            </w:r>
            <w:r>
              <w:rPr>
                <w:rFonts w:ascii="仿宋_GB2312" w:hAnsi="Calibri" w:eastAsia="仿宋_GB2312" w:cs="Times New Roman"/>
                <w:sz w:val="28"/>
                <w:szCs w:val="28"/>
              </w:rPr>
              <w:t>第一临床医学院</w:t>
            </w:r>
            <w:r>
              <w:rPr>
                <w:rFonts w:hint="eastAsia" w:ascii="仿宋_GB2312" w:hAnsi="Calibri" w:eastAsia="仿宋_GB2312" w:cs="Times New Roman"/>
                <w:sz w:val="28"/>
                <w:szCs w:val="28"/>
              </w:rPr>
              <w:t>，</w:t>
            </w:r>
            <w:r>
              <w:rPr>
                <w:rFonts w:ascii="仿宋_GB2312" w:hAnsi="Calibri" w:eastAsia="仿宋_GB2312" w:cs="Times New Roman"/>
                <w:sz w:val="28"/>
                <w:szCs w:val="28"/>
              </w:rPr>
              <w:t>浙北临床医学院</w:t>
            </w:r>
            <w:r>
              <w:rPr>
                <w:rFonts w:hint="eastAsia" w:ascii="仿宋_GB2312" w:hAnsi="Calibri" w:eastAsia="仿宋_GB2312" w:cs="Times New Roman"/>
                <w:sz w:val="28"/>
                <w:szCs w:val="28"/>
              </w:rPr>
              <w:t>，附属口腔医院，附属第三医院， 附属妇保医院，附属九八医院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5" w:type="dxa"/>
            <w:tcBorders>
              <w:left w:val="nil"/>
              <w:right w:val="nil"/>
            </w:tcBorders>
            <w:shd w:val="clear" w:color="auto" w:fill="auto"/>
          </w:tcPr>
          <w:p>
            <w:pPr>
              <w:rPr>
                <w:rFonts w:ascii="仿宋_GB2312" w:hAnsi="Calibri" w:eastAsia="仿宋_GB2312" w:cs="Times New Roman"/>
                <w:sz w:val="32"/>
                <w:szCs w:val="32"/>
              </w:rPr>
            </w:pPr>
            <w:r>
              <w:rPr>
                <w:rFonts w:hint="eastAsia" w:ascii="仿宋_GB2312" w:hAnsi="Calibri" w:eastAsia="仿宋_GB2312" w:cs="Times New Roman"/>
                <w:sz w:val="28"/>
                <w:szCs w:val="28"/>
              </w:rPr>
              <w:t>湖州师范学院医学院 、护理学院                2017年11月28</w:t>
            </w:r>
            <w:r>
              <w:rPr>
                <w:rFonts w:hint="eastAsia" w:ascii="仿宋_GB2312" w:hAnsi="Calibri" w:eastAsia="仿宋_GB2312" w:cs="Times New Roman"/>
                <w:color w:val="000000"/>
                <w:sz w:val="28"/>
                <w:szCs w:val="28"/>
              </w:rPr>
              <w:t>日印</w:t>
            </w:r>
            <w:r>
              <w:rPr>
                <w:rFonts w:hint="eastAsia" w:ascii="仿宋_GB2312" w:hAnsi="Calibri" w:eastAsia="仿宋_GB2312" w:cs="Times New Roman"/>
                <w:sz w:val="28"/>
                <w:szCs w:val="28"/>
              </w:rPr>
              <w:t>发</w:t>
            </w:r>
          </w:p>
        </w:tc>
      </w:tr>
    </w:tbl>
    <w:p>
      <w:pPr>
        <w:spacing w:line="100" w:lineRule="exact"/>
        <w:ind w:right="-816"/>
        <w:rPr>
          <w:rFonts w:ascii="黑体" w:hAnsi="Times New Roman" w:eastAsia="黑体" w:cs="Times New Roman"/>
          <w:sz w:val="32"/>
          <w:szCs w:val="24"/>
          <w:u w:val="single"/>
        </w:rPr>
      </w:pPr>
    </w:p>
    <w:p>
      <w:pPr>
        <w:spacing w:line="100" w:lineRule="exact"/>
        <w:ind w:left="-178" w:leftChars="-85" w:right="-816"/>
        <w:rPr>
          <w:rFonts w:ascii="黑体" w:hAnsi="Times New Roman" w:eastAsia="黑体" w:cs="Times New Roman"/>
          <w:sz w:val="32"/>
          <w:szCs w:val="24"/>
          <w:u w:val="single"/>
        </w:rPr>
      </w:pPr>
    </w:p>
    <w:sectPr>
      <w:footerReference r:id="rId3" w:type="default"/>
      <w:pgSz w:w="11906" w:h="16838"/>
      <w:pgMar w:top="1418" w:right="1474" w:bottom="141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14212"/>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8A"/>
    <w:rsid w:val="000266B6"/>
    <w:rsid w:val="000729C7"/>
    <w:rsid w:val="0007363D"/>
    <w:rsid w:val="00086459"/>
    <w:rsid w:val="00097F40"/>
    <w:rsid w:val="001103B4"/>
    <w:rsid w:val="00167902"/>
    <w:rsid w:val="001A36CE"/>
    <w:rsid w:val="001D298A"/>
    <w:rsid w:val="00243B0D"/>
    <w:rsid w:val="0027409C"/>
    <w:rsid w:val="002C1081"/>
    <w:rsid w:val="00335807"/>
    <w:rsid w:val="003B4F07"/>
    <w:rsid w:val="003C3704"/>
    <w:rsid w:val="003C47B5"/>
    <w:rsid w:val="003C6E10"/>
    <w:rsid w:val="003D6350"/>
    <w:rsid w:val="004741DA"/>
    <w:rsid w:val="004D394E"/>
    <w:rsid w:val="005434BA"/>
    <w:rsid w:val="00553047"/>
    <w:rsid w:val="0056332A"/>
    <w:rsid w:val="005870D1"/>
    <w:rsid w:val="005A4146"/>
    <w:rsid w:val="005C285D"/>
    <w:rsid w:val="005C79A4"/>
    <w:rsid w:val="006236C3"/>
    <w:rsid w:val="006543E5"/>
    <w:rsid w:val="006A6CCD"/>
    <w:rsid w:val="006B3E71"/>
    <w:rsid w:val="007F22A1"/>
    <w:rsid w:val="0080699B"/>
    <w:rsid w:val="00834685"/>
    <w:rsid w:val="00853541"/>
    <w:rsid w:val="008632C2"/>
    <w:rsid w:val="00870E9E"/>
    <w:rsid w:val="008D4864"/>
    <w:rsid w:val="00915859"/>
    <w:rsid w:val="00964356"/>
    <w:rsid w:val="009B7D6B"/>
    <w:rsid w:val="009C446D"/>
    <w:rsid w:val="00A11B50"/>
    <w:rsid w:val="00A21378"/>
    <w:rsid w:val="00A64F19"/>
    <w:rsid w:val="00A75007"/>
    <w:rsid w:val="00AA00F1"/>
    <w:rsid w:val="00AF7672"/>
    <w:rsid w:val="00BA12B4"/>
    <w:rsid w:val="00BD627D"/>
    <w:rsid w:val="00C43A1B"/>
    <w:rsid w:val="00C95952"/>
    <w:rsid w:val="00CD0BA6"/>
    <w:rsid w:val="00CF3EDC"/>
    <w:rsid w:val="00D264B5"/>
    <w:rsid w:val="00D71B6F"/>
    <w:rsid w:val="00DA01A4"/>
    <w:rsid w:val="00DE26C0"/>
    <w:rsid w:val="00DE6F32"/>
    <w:rsid w:val="00E850CE"/>
    <w:rsid w:val="00E90C38"/>
    <w:rsid w:val="00EC486B"/>
    <w:rsid w:val="00F50B61"/>
    <w:rsid w:val="00F524E5"/>
    <w:rsid w:val="00F6033C"/>
    <w:rsid w:val="00F80A72"/>
    <w:rsid w:val="64FD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56C61-1B03-45B6-B84C-45118861C8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1156</Words>
  <Characters>6594</Characters>
  <Lines>54</Lines>
  <Paragraphs>15</Paragraphs>
  <TotalTime>306</TotalTime>
  <ScaleCrop>false</ScaleCrop>
  <LinksUpToDate>false</LinksUpToDate>
  <CharactersWithSpaces>7735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2017-11-17T00:42:00Z</dcterms:created>
  <dc:creator>PC</dc:creator>
  <cp:lastModifiedBy>Administrator</cp:lastModifiedBy>
  <cp:lastPrinted>2017-11-29T04:51:00Z</cp:lastPrinted>
  <dcterms:modified xsi:type="dcterms:W3CDTF">2021-06-08T02:46:39Z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FFF88F31212645A2AF448B5DFAC660BD</vt:lpwstr>
  </property>
</Properties>
</file>