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bCs/>
          <w:spacing w:val="7"/>
          <w:sz w:val="44"/>
          <w:szCs w:val="44"/>
        </w:rPr>
        <w:t>湖州师范学院护理硕士专业学位授权点</w:t>
      </w:r>
    </w:p>
    <w:p>
      <w:pPr>
        <w:spacing w:line="360" w:lineRule="auto"/>
        <w:jc w:val="center"/>
        <w:rPr>
          <w:rFonts w:asciiTheme="majorEastAsia" w:hAnsiTheme="majorEastAsia" w:eastAsiaTheme="majorEastAsia" w:cstheme="majorEastAsia"/>
          <w:sz w:val="44"/>
          <w:szCs w:val="44"/>
        </w:rPr>
      </w:pPr>
    </w:p>
    <w:p>
      <w:pPr>
        <w:spacing w:line="360" w:lineRule="auto"/>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bCs/>
          <w:spacing w:val="5"/>
          <w:sz w:val="44"/>
          <w:szCs w:val="44"/>
        </w:rPr>
        <w:t>建设年度报告（</w:t>
      </w:r>
      <w:r>
        <w:rPr>
          <w:rFonts w:hint="eastAsia" w:asciiTheme="majorEastAsia" w:hAnsiTheme="majorEastAsia" w:eastAsiaTheme="majorEastAsia" w:cstheme="majorEastAsia"/>
          <w:b/>
          <w:bCs/>
          <w:spacing w:val="-17"/>
          <w:sz w:val="44"/>
          <w:szCs w:val="44"/>
        </w:rPr>
        <w:t>2021）</w:t>
      </w:r>
    </w:p>
    <w:p>
      <w:pPr>
        <w:spacing w:line="360" w:lineRule="auto"/>
        <w:jc w:val="both"/>
        <w:rPr>
          <w:rFonts w:asciiTheme="majorEastAsia" w:hAnsiTheme="majorEastAsia" w:eastAsiaTheme="majorEastAsia" w:cstheme="majorEastAsia"/>
          <w:sz w:val="28"/>
          <w:szCs w:val="28"/>
        </w:rPr>
      </w:pPr>
    </w:p>
    <w:p>
      <w:pPr>
        <w:pStyle w:val="2"/>
        <w:spacing w:line="360" w:lineRule="auto"/>
        <w:ind w:firstLine="280"/>
        <w:jc w:val="both"/>
        <w:rPr>
          <w:rFonts w:asciiTheme="majorEastAsia" w:hAnsiTheme="majorEastAsia" w:eastAsiaTheme="majorEastAsia" w:cstheme="majorEastAsia"/>
        </w:rPr>
      </w:pPr>
    </w:p>
    <w:p>
      <w:pPr>
        <w:pStyle w:val="2"/>
        <w:spacing w:line="360" w:lineRule="auto"/>
        <w:ind w:firstLine="280"/>
        <w:jc w:val="both"/>
        <w:rPr>
          <w:rFonts w:asciiTheme="majorEastAsia" w:hAnsiTheme="majorEastAsia" w:eastAsiaTheme="majorEastAsia" w:cstheme="majorEastAsia"/>
        </w:rPr>
      </w:pPr>
    </w:p>
    <w:p>
      <w:pPr>
        <w:tabs>
          <w:tab w:val="left" w:leader="underscore" w:pos="5880"/>
        </w:tabs>
        <w:spacing w:line="360" w:lineRule="auto"/>
        <w:ind w:firstLine="2376" w:firstLineChars="1100"/>
        <w:jc w:val="both"/>
        <w:rPr>
          <w:rFonts w:asciiTheme="majorEastAsia" w:hAnsiTheme="majorEastAsia" w:eastAsiaTheme="majorEastAsia" w:cstheme="majorEastAsia"/>
          <w:spacing w:val="-32"/>
          <w:sz w:val="28"/>
          <w:szCs w:val="28"/>
        </w:rPr>
      </w:pPr>
    </w:p>
    <w:tbl>
      <w:tblPr>
        <w:tblStyle w:val="9"/>
        <w:tblpPr w:leftFromText="180" w:rightFromText="180" w:vertAnchor="text" w:horzAnchor="page" w:tblpX="3024" w:tblpY="6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3"/>
        <w:gridCol w:w="3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3" w:type="dxa"/>
          </w:tcPr>
          <w:p>
            <w:pPr>
              <w:widowControl w:val="0"/>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高校名称：</w:t>
            </w:r>
          </w:p>
        </w:tc>
        <w:tc>
          <w:tcPr>
            <w:tcW w:w="3306" w:type="dxa"/>
            <w:tcBorders>
              <w:bottom w:val="single" w:color="auto" w:sz="4" w:space="0"/>
            </w:tcBorders>
          </w:tcPr>
          <w:p>
            <w:pPr>
              <w:widowControl w:val="0"/>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湖州师范学院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3" w:type="dxa"/>
          </w:tcPr>
          <w:p>
            <w:pPr>
              <w:widowControl w:val="0"/>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代码：</w:t>
            </w:r>
          </w:p>
        </w:tc>
        <w:tc>
          <w:tcPr>
            <w:tcW w:w="3306" w:type="dxa"/>
            <w:tcBorders>
              <w:top w:val="single" w:color="auto" w:sz="4" w:space="0"/>
              <w:bottom w:val="single" w:color="auto" w:sz="4" w:space="0"/>
            </w:tcBorders>
          </w:tcPr>
          <w:p>
            <w:pPr>
              <w:widowControl w:val="0"/>
              <w:spacing w:line="360" w:lineRule="auto"/>
              <w:ind w:firstLine="1120" w:firstLineChars="400"/>
              <w:jc w:val="both"/>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10347</w:t>
            </w:r>
          </w:p>
        </w:tc>
      </w:tr>
    </w:tbl>
    <w:p>
      <w:pPr>
        <w:tabs>
          <w:tab w:val="left" w:leader="underscore" w:pos="5880"/>
        </w:tabs>
        <w:spacing w:line="360" w:lineRule="auto"/>
        <w:ind w:firstLine="2376" w:firstLineChars="1100"/>
        <w:jc w:val="both"/>
        <w:rPr>
          <w:rFonts w:asciiTheme="majorEastAsia" w:hAnsiTheme="majorEastAsia" w:eastAsiaTheme="majorEastAsia" w:cstheme="majorEastAsia"/>
          <w:spacing w:val="-32"/>
          <w:sz w:val="28"/>
          <w:szCs w:val="28"/>
        </w:rPr>
      </w:pPr>
    </w:p>
    <w:p>
      <w:pPr>
        <w:tabs>
          <w:tab w:val="left" w:leader="underscore" w:pos="5880"/>
        </w:tabs>
        <w:spacing w:line="360" w:lineRule="auto"/>
        <w:ind w:firstLine="2376" w:firstLineChars="1100"/>
        <w:jc w:val="both"/>
        <w:rPr>
          <w:rFonts w:asciiTheme="majorEastAsia" w:hAnsiTheme="majorEastAsia" w:eastAsiaTheme="majorEastAsia" w:cstheme="majorEastAsia"/>
          <w:spacing w:val="-32"/>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p>
    <w:p>
      <w:pPr>
        <w:autoSpaceDE/>
        <w:autoSpaceDN/>
        <w:spacing w:line="360" w:lineRule="auto"/>
        <w:jc w:val="center"/>
        <w:rPr>
          <w:rFonts w:asciiTheme="majorEastAsia" w:hAnsiTheme="majorEastAsia" w:eastAsiaTheme="majorEastAsia" w:cstheme="majorEastAsia"/>
          <w:sz w:val="28"/>
          <w:szCs w:val="28"/>
        </w:rPr>
        <w:sectPr>
          <w:pgSz w:w="11910" w:h="16840"/>
          <w:pgMar w:top="1431" w:right="1786" w:bottom="0" w:left="1786" w:header="0" w:footer="0" w:gutter="0"/>
          <w:cols w:space="720" w:num="1"/>
        </w:sectPr>
      </w:pPr>
      <w:r>
        <w:rPr>
          <w:rFonts w:hint="eastAsia" w:asciiTheme="majorEastAsia" w:hAnsiTheme="majorEastAsia" w:eastAsiaTheme="majorEastAsia" w:cstheme="majorEastAsia"/>
          <w:b/>
          <w:bCs/>
          <w:spacing w:val="44"/>
          <w:sz w:val="28"/>
          <w:szCs w:val="28"/>
        </w:rPr>
        <w:t>202</w:t>
      </w:r>
      <w:r>
        <w:rPr>
          <w:rFonts w:asciiTheme="majorEastAsia" w:hAnsiTheme="majorEastAsia" w:eastAsiaTheme="majorEastAsia" w:cstheme="majorEastAsia"/>
          <w:b/>
          <w:bCs/>
          <w:spacing w:val="44"/>
          <w:sz w:val="28"/>
          <w:szCs w:val="28"/>
        </w:rPr>
        <w:t>2</w:t>
      </w:r>
      <w:r>
        <w:rPr>
          <w:rFonts w:hint="eastAsia" w:asciiTheme="majorEastAsia" w:hAnsiTheme="majorEastAsia" w:eastAsiaTheme="majorEastAsia" w:cstheme="majorEastAsia"/>
          <w:b/>
          <w:bCs/>
          <w:spacing w:val="44"/>
          <w:sz w:val="28"/>
          <w:szCs w:val="28"/>
        </w:rPr>
        <w:t>年3月1日</w:t>
      </w:r>
    </w:p>
    <w:p>
      <w:pPr>
        <w:spacing w:line="360" w:lineRule="auto"/>
        <w:jc w:val="center"/>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54"/>
          <w:position w:val="2"/>
          <w:sz w:val="28"/>
          <w:szCs w:val="28"/>
          <w14:textOutline w14:w="6350" w14:cap="flat" w14:cmpd="sng" w14:algn="ctr">
            <w14:solidFill>
              <w14:srgbClr w14:val="000000"/>
            </w14:solidFill>
            <w14:prstDash w14:val="solid"/>
            <w14:miter w14:val="0"/>
          </w14:textOutline>
        </w:rPr>
        <w:t>湖州师范学院概况</w:t>
      </w:r>
    </w:p>
    <w:p>
      <w:pPr>
        <w:autoSpaceDE/>
        <w:autoSpaceDN/>
        <w:spacing w:line="360" w:lineRule="auto"/>
        <w:ind w:firstLine="564" w:firstLineChars="200"/>
        <w:jc w:val="both"/>
        <w:rPr>
          <w:rFonts w:asciiTheme="majorEastAsia" w:hAnsiTheme="majorEastAsia" w:eastAsiaTheme="majorEastAsia" w:cstheme="majorEastAsia"/>
          <w:spacing w:val="1"/>
          <w:sz w:val="28"/>
          <w:szCs w:val="28"/>
        </w:rPr>
      </w:pPr>
      <w:r>
        <w:rPr>
          <w:rFonts w:hint="eastAsia" w:asciiTheme="majorEastAsia" w:hAnsiTheme="majorEastAsia" w:eastAsiaTheme="majorEastAsia" w:cstheme="majorEastAsia"/>
          <w:spacing w:val="1"/>
          <w:sz w:val="28"/>
          <w:szCs w:val="28"/>
        </w:rPr>
        <w:t>湖州师范学院坐落于国家历史文化名城、习近平“绿水青山就是金山银山”理念诞生地、中国美丽乡村发源地——浙江省湖州市。学校办学历史可追溯至1916年的钱塘道第三联合县立师范讲习所，1958年开始高等教育，1994年开始招收本科生，1999年原湖州师范专科学校、湖州师范学校和湖州教师进修学院合并成立湖州师范学院，2000年原湖州卫生学校并入湖州师范学院。2006年2月6日，习近平总书记主政浙江期间莅</w:t>
      </w:r>
      <w:r>
        <w:rPr>
          <w:rFonts w:hint="eastAsia" w:asciiTheme="majorEastAsia" w:hAnsiTheme="majorEastAsia" w:eastAsiaTheme="majorEastAsia" w:cstheme="majorEastAsia"/>
          <w:spacing w:val="1"/>
          <w:sz w:val="28"/>
          <w:szCs w:val="28"/>
          <w:lang w:val="en-US" w:eastAsia="zh-CN"/>
        </w:rPr>
        <w:t>学校</w:t>
      </w:r>
      <w:r>
        <w:rPr>
          <w:rFonts w:hint="eastAsia" w:asciiTheme="majorEastAsia" w:hAnsiTheme="majorEastAsia" w:eastAsiaTheme="majorEastAsia" w:cstheme="majorEastAsia"/>
          <w:spacing w:val="1"/>
          <w:sz w:val="28"/>
          <w:szCs w:val="28"/>
        </w:rPr>
        <w:t>视察，希望建成在国内有一定影响、一定水平、一定地位的师范大学。2012年开始独立招收硕士研究生，2018年获批硕士学位授予单位，2021年独立学院求真学院转设为公办普通本科高校——湖州学院。</w:t>
      </w:r>
    </w:p>
    <w:p>
      <w:pPr>
        <w:autoSpaceDE/>
        <w:autoSpaceDN/>
        <w:spacing w:line="360" w:lineRule="auto"/>
        <w:ind w:firstLine="548"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3"/>
          <w:sz w:val="28"/>
          <w:szCs w:val="28"/>
        </w:rPr>
        <w:t>湖州师范学院</w:t>
      </w:r>
      <w:r>
        <w:rPr>
          <w:rFonts w:hint="eastAsia" w:asciiTheme="majorEastAsia" w:hAnsiTheme="majorEastAsia" w:eastAsiaTheme="majorEastAsia" w:cstheme="majorEastAsia"/>
          <w:spacing w:val="1"/>
          <w:sz w:val="28"/>
          <w:szCs w:val="28"/>
        </w:rPr>
        <w:t>学科涵盖教育学、工学、农学、医学、理学、文学、经济学、艺</w:t>
      </w:r>
      <w:r>
        <w:rPr>
          <w:rFonts w:hint="eastAsia" w:asciiTheme="majorEastAsia" w:hAnsiTheme="majorEastAsia" w:eastAsiaTheme="majorEastAsia" w:cstheme="majorEastAsia"/>
          <w:sz w:val="28"/>
          <w:szCs w:val="28"/>
        </w:rPr>
        <w:t>术学、法学、管理学、历史学等11大学科门类，设有14个二级学院，拥有6所附属医院、2个临床医学院、11所附属学校。</w:t>
      </w:r>
      <w:r>
        <w:rPr>
          <w:rFonts w:hint="eastAsia" w:asciiTheme="majorEastAsia" w:hAnsiTheme="majorEastAsia" w:eastAsiaTheme="majorEastAsia" w:cstheme="majorEastAsia"/>
          <w:spacing w:val="-3"/>
          <w:sz w:val="28"/>
          <w:szCs w:val="28"/>
        </w:rPr>
        <w:t>2020年首次引进</w:t>
      </w:r>
      <w:r>
        <w:rPr>
          <w:rFonts w:hint="eastAsia" w:asciiTheme="majorEastAsia" w:hAnsiTheme="majorEastAsia" w:eastAsiaTheme="majorEastAsia" w:cstheme="majorEastAsia"/>
          <w:spacing w:val="-2"/>
          <w:sz w:val="28"/>
          <w:szCs w:val="28"/>
        </w:rPr>
        <w:t>墨西哥国家科学院院士1人，本年度引进南非国家科学院</w:t>
      </w:r>
      <w:r>
        <w:rPr>
          <w:rFonts w:hint="eastAsia" w:asciiTheme="majorEastAsia" w:hAnsiTheme="majorEastAsia" w:eastAsiaTheme="majorEastAsia" w:cstheme="majorEastAsia"/>
          <w:spacing w:val="-3"/>
          <w:sz w:val="28"/>
          <w:szCs w:val="28"/>
        </w:rPr>
        <w:t>院士1人</w:t>
      </w:r>
      <w:r>
        <w:rPr>
          <w:rFonts w:hint="eastAsia" w:asciiTheme="majorEastAsia" w:hAnsiTheme="majorEastAsia" w:eastAsiaTheme="majorEastAsia" w:cstheme="majorEastAsia"/>
          <w:spacing w:val="-5"/>
          <w:sz w:val="28"/>
          <w:szCs w:val="28"/>
        </w:rPr>
        <w:t>。2021年工程学成为继</w:t>
      </w:r>
      <w:r>
        <w:rPr>
          <w:rFonts w:hint="eastAsia" w:asciiTheme="majorEastAsia" w:hAnsiTheme="majorEastAsia" w:eastAsiaTheme="majorEastAsia" w:cstheme="majorEastAsia"/>
          <w:spacing w:val="-7"/>
          <w:sz w:val="28"/>
          <w:szCs w:val="28"/>
        </w:rPr>
        <w:t>数学、临床医学第3个进入ESI学科全球前1</w:t>
      </w:r>
      <w:r>
        <w:rPr>
          <w:rFonts w:hint="eastAsia" w:asciiTheme="majorEastAsia" w:hAnsiTheme="majorEastAsia" w:eastAsiaTheme="majorEastAsia" w:cstheme="majorEastAsia"/>
          <w:spacing w:val="-18"/>
          <w:sz w:val="28"/>
          <w:szCs w:val="28"/>
        </w:rPr>
        <w:t>％。</w:t>
      </w:r>
    </w:p>
    <w:p>
      <w:pPr>
        <w:autoSpaceDE/>
        <w:autoSpaceDN/>
        <w:spacing w:line="360" w:lineRule="auto"/>
        <w:ind w:firstLine="544" w:firstLineChars="200"/>
        <w:jc w:val="both"/>
      </w:pPr>
      <w:r>
        <w:rPr>
          <w:rFonts w:hint="eastAsia" w:asciiTheme="majorEastAsia" w:hAnsiTheme="majorEastAsia" w:eastAsiaTheme="majorEastAsia" w:cstheme="majorEastAsia"/>
          <w:spacing w:val="-4"/>
          <w:sz w:val="28"/>
          <w:szCs w:val="28"/>
        </w:rPr>
        <w:t>湖州师范学院</w:t>
      </w:r>
      <w:r>
        <w:rPr>
          <w:rFonts w:hint="eastAsia" w:asciiTheme="majorEastAsia" w:hAnsiTheme="majorEastAsia" w:eastAsiaTheme="majorEastAsia" w:cstheme="majorEastAsia"/>
          <w:spacing w:val="-5"/>
          <w:sz w:val="28"/>
          <w:szCs w:val="28"/>
        </w:rPr>
        <w:t>与20多个国家和地区的60多所院校和机构开展紧密交流合作</w:t>
      </w:r>
      <w:r>
        <w:rPr>
          <w:rFonts w:hint="eastAsia" w:asciiTheme="majorEastAsia" w:hAnsiTheme="majorEastAsia" w:eastAsiaTheme="majorEastAsia" w:cstheme="majorEastAsia"/>
          <w:spacing w:val="-4"/>
          <w:sz w:val="28"/>
          <w:szCs w:val="28"/>
        </w:rPr>
        <w:t>。</w:t>
      </w:r>
      <w:r>
        <w:rPr>
          <w:rFonts w:hint="eastAsia" w:asciiTheme="majorEastAsia" w:hAnsiTheme="majorEastAsia" w:eastAsiaTheme="majorEastAsia" w:cstheme="majorEastAsia"/>
          <w:spacing w:val="1"/>
          <w:sz w:val="28"/>
          <w:szCs w:val="28"/>
        </w:rPr>
        <w:t>湖州师范学院以习近平新时代中国特色社会主义思想</w:t>
      </w:r>
      <w:r>
        <w:rPr>
          <w:rFonts w:hint="eastAsia" w:asciiTheme="majorEastAsia" w:hAnsiTheme="majorEastAsia" w:eastAsiaTheme="majorEastAsia" w:cstheme="majorEastAsia"/>
          <w:sz w:val="28"/>
          <w:szCs w:val="28"/>
        </w:rPr>
        <w:t>为指导，按照习近平总书记当年来校视察时的重要指示精神和</w:t>
      </w:r>
      <w:r>
        <w:rPr>
          <w:rFonts w:hint="eastAsia" w:asciiTheme="majorEastAsia" w:hAnsiTheme="majorEastAsia" w:eastAsiaTheme="majorEastAsia" w:cstheme="majorEastAsia"/>
          <w:spacing w:val="-99"/>
          <w:sz w:val="28"/>
          <w:szCs w:val="28"/>
        </w:rPr>
        <w:t xml:space="preserve"> </w:t>
      </w:r>
      <w:r>
        <w:rPr>
          <w:rFonts w:hint="eastAsia" w:asciiTheme="majorEastAsia" w:hAnsiTheme="majorEastAsia" w:eastAsiaTheme="majorEastAsia" w:cstheme="majorEastAsia"/>
          <w:spacing w:val="-1"/>
          <w:sz w:val="28"/>
          <w:szCs w:val="28"/>
        </w:rPr>
        <w:t>“有理想、有道德、有知识、有志向、有用、有为”</w:t>
      </w:r>
      <w:r>
        <w:rPr>
          <w:rFonts w:hint="eastAsia" w:asciiTheme="majorEastAsia" w:hAnsiTheme="majorEastAsia" w:eastAsiaTheme="majorEastAsia" w:cstheme="majorEastAsia"/>
          <w:spacing w:val="-105"/>
          <w:sz w:val="28"/>
          <w:szCs w:val="28"/>
        </w:rPr>
        <w:t xml:space="preserve"> </w:t>
      </w:r>
      <w:r>
        <w:rPr>
          <w:rFonts w:hint="eastAsia" w:asciiTheme="majorEastAsia" w:hAnsiTheme="majorEastAsia" w:eastAsiaTheme="majorEastAsia" w:cstheme="majorEastAsia"/>
          <w:spacing w:val="-1"/>
          <w:sz w:val="28"/>
          <w:szCs w:val="28"/>
        </w:rPr>
        <w:t>的</w:t>
      </w:r>
      <w:r>
        <w:rPr>
          <w:rFonts w:hint="eastAsia" w:asciiTheme="majorEastAsia" w:hAnsiTheme="majorEastAsia" w:eastAsiaTheme="majorEastAsia" w:cstheme="majorEastAsia"/>
          <w:spacing w:val="-97"/>
          <w:sz w:val="28"/>
          <w:szCs w:val="28"/>
        </w:rPr>
        <w:t xml:space="preserve"> </w:t>
      </w:r>
      <w:r>
        <w:rPr>
          <w:rFonts w:hint="eastAsia" w:asciiTheme="majorEastAsia" w:hAnsiTheme="majorEastAsia" w:eastAsiaTheme="majorEastAsia" w:cstheme="majorEastAsia"/>
          <w:spacing w:val="-1"/>
          <w:sz w:val="28"/>
          <w:szCs w:val="28"/>
        </w:rPr>
        <w:t>“六有”人才培养要</w:t>
      </w:r>
      <w:r>
        <w:rPr>
          <w:rFonts w:hint="eastAsia" w:asciiTheme="majorEastAsia" w:hAnsiTheme="majorEastAsia" w:eastAsiaTheme="majorEastAsia" w:cstheme="majorEastAsia"/>
          <w:spacing w:val="-2"/>
          <w:sz w:val="28"/>
          <w:szCs w:val="28"/>
        </w:rPr>
        <w:t>求，强化</w:t>
      </w:r>
      <w:r>
        <w:rPr>
          <w:rFonts w:hint="eastAsia" w:asciiTheme="majorEastAsia" w:hAnsiTheme="majorEastAsia" w:eastAsiaTheme="majorEastAsia" w:cstheme="majorEastAsia"/>
          <w:spacing w:val="1"/>
          <w:sz w:val="28"/>
          <w:szCs w:val="28"/>
        </w:rPr>
        <w:t>“学生为本、学者为重、学术为要、学科为基”办学理念，坚定走内涵式</w:t>
      </w:r>
      <w:r>
        <w:rPr>
          <w:rFonts w:hint="eastAsia" w:asciiTheme="majorEastAsia" w:hAnsiTheme="majorEastAsia" w:eastAsiaTheme="majorEastAsia" w:cstheme="majorEastAsia"/>
          <w:sz w:val="28"/>
          <w:szCs w:val="28"/>
        </w:rPr>
        <w:t>发展之路，聚力打造城市与大学命运共同体，朝着建成</w:t>
      </w:r>
      <w:r>
        <w:rPr>
          <w:rFonts w:hint="eastAsia" w:asciiTheme="majorEastAsia" w:hAnsiTheme="majorEastAsia" w:eastAsiaTheme="majorEastAsia" w:cstheme="majorEastAsia"/>
          <w:spacing w:val="-97"/>
          <w:sz w:val="28"/>
          <w:szCs w:val="28"/>
        </w:rPr>
        <w:t xml:space="preserve"> </w:t>
      </w:r>
      <w:r>
        <w:rPr>
          <w:rFonts w:hint="eastAsia" w:asciiTheme="majorEastAsia" w:hAnsiTheme="majorEastAsia" w:eastAsiaTheme="majorEastAsia" w:cstheme="majorEastAsia"/>
          <w:sz w:val="28"/>
          <w:szCs w:val="28"/>
        </w:rPr>
        <w:t>“在国内有一定影</w:t>
      </w:r>
      <w:r>
        <w:rPr>
          <w:rFonts w:hint="eastAsia" w:asciiTheme="majorEastAsia" w:hAnsiTheme="majorEastAsia" w:eastAsiaTheme="majorEastAsia" w:cstheme="majorEastAsia"/>
          <w:spacing w:val="-3"/>
          <w:sz w:val="28"/>
          <w:szCs w:val="28"/>
        </w:rPr>
        <w:t>响、一定水平、一定地位的湖州师范大学”目标奋</w:t>
      </w:r>
      <w:r>
        <w:rPr>
          <w:rFonts w:hint="eastAsia" w:asciiTheme="majorEastAsia" w:hAnsiTheme="majorEastAsia" w:eastAsiaTheme="majorEastAsia" w:cstheme="majorEastAsia"/>
          <w:spacing w:val="-4"/>
          <w:sz w:val="28"/>
          <w:szCs w:val="28"/>
        </w:rPr>
        <w:t>勇前行。</w:t>
      </w:r>
    </w:p>
    <w:p>
      <w:r>
        <w:rPr>
          <w:rFonts w:hint="eastAsia"/>
        </w:rPr>
        <w:br w:type="page"/>
      </w:r>
    </w:p>
    <w:p>
      <w:pPr>
        <w:spacing w:line="360" w:lineRule="auto"/>
        <w:jc w:val="center"/>
        <w:outlineLvl w:val="0"/>
        <w:rPr>
          <w:rFonts w:asciiTheme="majorEastAsia" w:hAnsiTheme="majorEastAsia" w:eastAsiaTheme="majorEastAsia" w:cstheme="majorEastAsia"/>
          <w:spacing w:val="54"/>
          <w:position w:val="2"/>
          <w:sz w:val="28"/>
          <w:szCs w:val="28"/>
          <w14:textOutline w14:w="6350" w14:cap="flat" w14:cmpd="sng" w14:algn="ctr">
            <w14:solidFill>
              <w14:srgbClr w14:val="000000"/>
            </w14:solidFill>
            <w14:prstDash w14:val="solid"/>
            <w14:miter w14:val="0"/>
          </w14:textOutline>
        </w:rPr>
      </w:pPr>
      <w:r>
        <w:rPr>
          <w:rFonts w:hint="eastAsia" w:asciiTheme="majorEastAsia" w:hAnsiTheme="majorEastAsia" w:eastAsiaTheme="majorEastAsia" w:cstheme="majorEastAsia"/>
          <w:spacing w:val="54"/>
          <w:position w:val="2"/>
          <w:sz w:val="28"/>
          <w:szCs w:val="28"/>
          <w14:textOutline w14:w="6350" w14:cap="flat" w14:cmpd="sng" w14:algn="ctr">
            <w14:solidFill>
              <w14:srgbClr w14:val="000000"/>
            </w14:solidFill>
            <w14:prstDash w14:val="solid"/>
            <w14:miter w14:val="0"/>
          </w14:textOutline>
        </w:rPr>
        <w:t>医学院</w:t>
      </w:r>
      <w:r>
        <w:rPr>
          <w:rFonts w:hint="eastAsia" w:asciiTheme="majorEastAsia" w:hAnsiTheme="majorEastAsia" w:eastAsiaTheme="majorEastAsia" w:cstheme="majorEastAsia"/>
          <w:spacing w:val="-67"/>
          <w:position w:val="2"/>
          <w:sz w:val="28"/>
          <w:szCs w:val="28"/>
        </w:rPr>
        <w:t xml:space="preserve"> </w:t>
      </w:r>
      <w:r>
        <w:rPr>
          <w:rFonts w:hint="eastAsia" w:asciiTheme="majorEastAsia" w:hAnsiTheme="majorEastAsia" w:eastAsiaTheme="majorEastAsia" w:cstheme="majorEastAsia"/>
          <w:spacing w:val="54"/>
          <w:position w:val="2"/>
          <w:sz w:val="28"/>
          <w:szCs w:val="28"/>
          <w14:textOutline w14:w="6350" w14:cap="flat" w14:cmpd="sng" w14:algn="ctr">
            <w14:solidFill>
              <w14:srgbClr w14:val="000000"/>
            </w14:solidFill>
            <w14:prstDash w14:val="solid"/>
            <w14:miter w14:val="0"/>
          </w14:textOutline>
        </w:rPr>
        <w:t>、</w:t>
      </w:r>
      <w:r>
        <w:rPr>
          <w:rFonts w:hint="eastAsia" w:asciiTheme="majorEastAsia" w:hAnsiTheme="majorEastAsia" w:eastAsiaTheme="majorEastAsia" w:cstheme="majorEastAsia"/>
          <w:spacing w:val="-106"/>
          <w:position w:val="2"/>
          <w:sz w:val="28"/>
          <w:szCs w:val="28"/>
        </w:rPr>
        <w:t xml:space="preserve"> </w:t>
      </w:r>
      <w:r>
        <w:rPr>
          <w:rFonts w:hint="eastAsia" w:asciiTheme="majorEastAsia" w:hAnsiTheme="majorEastAsia" w:eastAsiaTheme="majorEastAsia" w:cstheme="majorEastAsia"/>
          <w:spacing w:val="54"/>
          <w:position w:val="2"/>
          <w:sz w:val="28"/>
          <w:szCs w:val="28"/>
          <w14:textOutline w14:w="6350" w14:cap="flat" w14:cmpd="sng" w14:algn="ctr">
            <w14:solidFill>
              <w14:srgbClr w14:val="000000"/>
            </w14:solidFill>
            <w14:prstDash w14:val="solid"/>
            <w14:miter w14:val="0"/>
          </w14:textOutline>
        </w:rPr>
        <w:t>护理学院概况</w:t>
      </w:r>
    </w:p>
    <w:p>
      <w:pPr>
        <w:autoSpaceDE/>
        <w:autoSpaceDN/>
        <w:spacing w:line="360" w:lineRule="auto"/>
        <w:ind w:firstLine="540" w:firstLineChars="200"/>
        <w:jc w:val="both"/>
        <w:outlineLvl w:val="0"/>
        <w:rPr>
          <w:rFonts w:asciiTheme="majorEastAsia" w:hAnsiTheme="majorEastAsia" w:eastAsiaTheme="majorEastAsia" w:cstheme="majorEastAsia"/>
          <w:spacing w:val="-6"/>
          <w:sz w:val="28"/>
          <w:szCs w:val="28"/>
        </w:rPr>
      </w:pPr>
      <w:r>
        <w:rPr>
          <w:rFonts w:hint="eastAsia" w:asciiTheme="majorEastAsia" w:hAnsiTheme="majorEastAsia" w:eastAsiaTheme="majorEastAsia" w:cstheme="majorEastAsia"/>
          <w:spacing w:val="-5"/>
          <w:sz w:val="28"/>
          <w:szCs w:val="28"/>
        </w:rPr>
        <w:t>湖州师范学院医学院、护理学院可追溯到1958年成立的浙</w:t>
      </w:r>
      <w:r>
        <w:rPr>
          <w:rFonts w:hint="eastAsia" w:asciiTheme="majorEastAsia" w:hAnsiTheme="majorEastAsia" w:eastAsiaTheme="majorEastAsia" w:cstheme="majorEastAsia"/>
          <w:spacing w:val="-1"/>
          <w:sz w:val="28"/>
          <w:szCs w:val="28"/>
        </w:rPr>
        <w:t>江省湖州卫生学校，1988年湖州职工中等卫生学校、湖州市第一</w:t>
      </w:r>
      <w:r>
        <w:rPr>
          <w:rFonts w:hint="eastAsia" w:asciiTheme="majorEastAsia" w:hAnsiTheme="majorEastAsia" w:eastAsiaTheme="majorEastAsia" w:cstheme="majorEastAsia"/>
          <w:spacing w:val="-2"/>
          <w:sz w:val="28"/>
          <w:szCs w:val="28"/>
        </w:rPr>
        <w:t>医院护士</w:t>
      </w:r>
      <w:r>
        <w:rPr>
          <w:rFonts w:hint="eastAsia" w:asciiTheme="majorEastAsia" w:hAnsiTheme="majorEastAsia" w:eastAsiaTheme="majorEastAsia" w:cstheme="majorEastAsia"/>
          <w:spacing w:val="1"/>
          <w:sz w:val="28"/>
          <w:szCs w:val="28"/>
        </w:rPr>
        <w:t>学校、湖州市第二医院护士学校并入湖州卫生学校。开设医士、中医士、</w:t>
      </w:r>
      <w:r>
        <w:rPr>
          <w:rFonts w:hint="eastAsia" w:asciiTheme="majorEastAsia" w:hAnsiTheme="majorEastAsia" w:eastAsiaTheme="majorEastAsia" w:cstheme="majorEastAsia"/>
          <w:spacing w:val="15"/>
          <w:sz w:val="28"/>
          <w:szCs w:val="28"/>
        </w:rPr>
        <w:t xml:space="preserve"> </w:t>
      </w:r>
      <w:r>
        <w:rPr>
          <w:rFonts w:hint="eastAsia" w:asciiTheme="majorEastAsia" w:hAnsiTheme="majorEastAsia" w:eastAsiaTheme="majorEastAsia" w:cstheme="majorEastAsia"/>
          <w:spacing w:val="1"/>
          <w:sz w:val="28"/>
          <w:szCs w:val="28"/>
        </w:rPr>
        <w:t>护理、助产士四个全日制中专专业，同时承担湖州市中等医学教育自学考</w:t>
      </w:r>
      <w:r>
        <w:rPr>
          <w:rFonts w:hint="eastAsia" w:asciiTheme="majorEastAsia" w:hAnsiTheme="majorEastAsia" w:eastAsiaTheme="majorEastAsia" w:cstheme="majorEastAsia"/>
          <w:spacing w:val="-4"/>
          <w:sz w:val="28"/>
          <w:szCs w:val="28"/>
        </w:rPr>
        <w:t>试、乡村医生函授和医学继续教育，并于1997年通过中等卫生学校合格评</w:t>
      </w:r>
      <w:r>
        <w:rPr>
          <w:rFonts w:hint="eastAsia" w:asciiTheme="majorEastAsia" w:hAnsiTheme="majorEastAsia" w:eastAsiaTheme="majorEastAsia" w:cstheme="majorEastAsia"/>
          <w:spacing w:val="-3"/>
          <w:sz w:val="28"/>
          <w:szCs w:val="28"/>
        </w:rPr>
        <w:t>估。2000年5月，湖州卫生学校并入湖州师范学院组建医学院，从此步入</w:t>
      </w:r>
      <w:r>
        <w:rPr>
          <w:rFonts w:hint="eastAsia" w:asciiTheme="majorEastAsia" w:hAnsiTheme="majorEastAsia" w:eastAsiaTheme="majorEastAsia" w:cstheme="majorEastAsia"/>
          <w:spacing w:val="-6"/>
          <w:sz w:val="28"/>
          <w:szCs w:val="28"/>
        </w:rPr>
        <w:t>高等医学教育的行列。自2000年起，学院先后设置护理学、临床医学、口</w:t>
      </w:r>
      <w:r>
        <w:rPr>
          <w:rFonts w:hint="eastAsia" w:asciiTheme="majorEastAsia" w:hAnsiTheme="majorEastAsia" w:eastAsiaTheme="majorEastAsia" w:cstheme="majorEastAsia"/>
          <w:spacing w:val="-3"/>
          <w:sz w:val="28"/>
          <w:szCs w:val="28"/>
        </w:rPr>
        <w:t>腔医学、口腔工艺学四个专科专业和护理学、口腔医学、临床医学、公共</w:t>
      </w:r>
      <w:r>
        <w:rPr>
          <w:rFonts w:hint="eastAsia" w:asciiTheme="majorEastAsia" w:hAnsiTheme="majorEastAsia" w:eastAsiaTheme="majorEastAsia" w:cstheme="majorEastAsia"/>
          <w:spacing w:val="-1"/>
          <w:sz w:val="28"/>
          <w:szCs w:val="28"/>
        </w:rPr>
        <w:t>事业管理（医学信息管理方向）四个本科专业。2005年，学院以</w:t>
      </w:r>
      <w:r>
        <w:rPr>
          <w:rFonts w:hint="eastAsia" w:asciiTheme="majorEastAsia" w:hAnsiTheme="majorEastAsia" w:eastAsiaTheme="majorEastAsia" w:cstheme="majorEastAsia"/>
          <w:spacing w:val="-2"/>
          <w:sz w:val="28"/>
          <w:szCs w:val="28"/>
        </w:rPr>
        <w:t>良好成绩</w:t>
      </w:r>
      <w:r>
        <w:rPr>
          <w:rFonts w:hint="eastAsia" w:asciiTheme="majorEastAsia" w:hAnsiTheme="majorEastAsia" w:eastAsiaTheme="majorEastAsia" w:cstheme="majorEastAsia"/>
          <w:spacing w:val="-1"/>
          <w:sz w:val="28"/>
          <w:szCs w:val="28"/>
        </w:rPr>
        <w:t>通过了教育部本科教学工作水平评估。2007年，率先在浙江省开</w:t>
      </w:r>
      <w:r>
        <w:rPr>
          <w:rFonts w:hint="eastAsia" w:asciiTheme="majorEastAsia" w:hAnsiTheme="majorEastAsia" w:eastAsiaTheme="majorEastAsia" w:cstheme="majorEastAsia"/>
          <w:spacing w:val="-2"/>
          <w:sz w:val="28"/>
          <w:szCs w:val="28"/>
        </w:rPr>
        <w:t>展农村定</w:t>
      </w:r>
      <w:r>
        <w:rPr>
          <w:rFonts w:hint="eastAsia" w:asciiTheme="majorEastAsia" w:hAnsiTheme="majorEastAsia" w:eastAsiaTheme="majorEastAsia" w:cstheme="majorEastAsia"/>
          <w:sz w:val="28"/>
          <w:szCs w:val="28"/>
        </w:rPr>
        <w:t>向全科医学人才培养，“校地共育”农村社区全科医学人才培养模式得到</w:t>
      </w:r>
      <w:r>
        <w:rPr>
          <w:rFonts w:hint="eastAsia" w:asciiTheme="majorEastAsia" w:hAnsiTheme="majorEastAsia" w:eastAsiaTheme="majorEastAsia" w:cstheme="majorEastAsia"/>
          <w:spacing w:val="-9"/>
          <w:sz w:val="28"/>
          <w:szCs w:val="28"/>
        </w:rPr>
        <w:t>省委省政府的高度评价，培养模式在全省推广。2012年，临床医学专</w:t>
      </w:r>
      <w:r>
        <w:rPr>
          <w:rFonts w:hint="eastAsia" w:asciiTheme="majorEastAsia" w:hAnsiTheme="majorEastAsia" w:eastAsiaTheme="majorEastAsia" w:cstheme="majorEastAsia"/>
          <w:spacing w:val="-10"/>
          <w:sz w:val="28"/>
          <w:szCs w:val="28"/>
        </w:rPr>
        <w:t>业“农</w:t>
      </w:r>
      <w:r>
        <w:rPr>
          <w:rFonts w:hint="eastAsia" w:asciiTheme="majorEastAsia" w:hAnsiTheme="majorEastAsia" w:eastAsiaTheme="majorEastAsia" w:cstheme="majorEastAsia"/>
          <w:sz w:val="28"/>
          <w:szCs w:val="28"/>
        </w:rPr>
        <w:t>村订单定向免费本科医学教育人才培养模式改革试点”入选国家首批</w:t>
      </w:r>
      <w:r>
        <w:rPr>
          <w:rFonts w:hint="eastAsia" w:asciiTheme="majorEastAsia" w:hAnsiTheme="majorEastAsia" w:eastAsiaTheme="majorEastAsia" w:cstheme="majorEastAsia"/>
          <w:spacing w:val="-93"/>
          <w:sz w:val="28"/>
          <w:szCs w:val="28"/>
        </w:rPr>
        <w:t xml:space="preserve"> </w:t>
      </w:r>
      <w:r>
        <w:rPr>
          <w:rFonts w:hint="eastAsia" w:asciiTheme="majorEastAsia" w:hAnsiTheme="majorEastAsia" w:eastAsiaTheme="majorEastAsia" w:cstheme="majorEastAsia"/>
          <w:sz w:val="28"/>
          <w:szCs w:val="28"/>
        </w:rPr>
        <w:t>“卓</w:t>
      </w:r>
      <w:r>
        <w:rPr>
          <w:rFonts w:hint="eastAsia" w:asciiTheme="majorEastAsia" w:hAnsiTheme="majorEastAsia" w:eastAsiaTheme="majorEastAsia" w:cstheme="majorEastAsia"/>
          <w:spacing w:val="-2"/>
          <w:sz w:val="28"/>
          <w:szCs w:val="28"/>
        </w:rPr>
        <w:t>越医生教育培养计划”项目。2011年，学校获批“服务国家特殊</w:t>
      </w:r>
      <w:r>
        <w:rPr>
          <w:rFonts w:hint="eastAsia" w:asciiTheme="majorEastAsia" w:hAnsiTheme="majorEastAsia" w:eastAsiaTheme="majorEastAsia" w:cstheme="majorEastAsia"/>
          <w:spacing w:val="-3"/>
          <w:sz w:val="28"/>
          <w:szCs w:val="28"/>
        </w:rPr>
        <w:t>需求——</w:t>
      </w:r>
      <w:r>
        <w:rPr>
          <w:rFonts w:hint="eastAsia" w:asciiTheme="majorEastAsia" w:hAnsiTheme="majorEastAsia" w:eastAsiaTheme="majorEastAsia" w:cstheme="majorEastAsia"/>
          <w:spacing w:val="-9"/>
          <w:sz w:val="28"/>
          <w:szCs w:val="28"/>
        </w:rPr>
        <w:t>护理硕士专业学位研究生培养”试点单位，2017年顺利通过项目验收，2018</w:t>
      </w:r>
      <w:r>
        <w:rPr>
          <w:rFonts w:hint="eastAsia" w:asciiTheme="majorEastAsia" w:hAnsiTheme="majorEastAsia" w:eastAsiaTheme="majorEastAsia" w:cstheme="majorEastAsia"/>
          <w:spacing w:val="-1"/>
          <w:sz w:val="28"/>
          <w:szCs w:val="28"/>
        </w:rPr>
        <w:t>年正式获批护理专业硕士学位点。</w:t>
      </w:r>
      <w:r>
        <w:rPr>
          <w:rFonts w:hint="eastAsia" w:asciiTheme="majorEastAsia" w:hAnsiTheme="majorEastAsia" w:eastAsiaTheme="majorEastAsia" w:cstheme="majorEastAsia"/>
          <w:sz w:val="28"/>
          <w:szCs w:val="28"/>
        </w:rPr>
        <w:t>医学院、护理学院作为学校最大的二级学院，在本科人才培养、教学改革等方面一直走在学校的前列。学校充分考虑医学教育的特殊性，在政策支持、人才引进、资金投入、机构设置等方面给予大力倾斜。</w:t>
      </w:r>
      <w:r>
        <w:rPr>
          <w:rFonts w:hint="eastAsia" w:asciiTheme="majorEastAsia" w:hAnsiTheme="majorEastAsia" w:eastAsiaTheme="majorEastAsia" w:cstheme="majorEastAsia"/>
          <w:spacing w:val="-1"/>
          <w:sz w:val="28"/>
          <w:szCs w:val="28"/>
        </w:rPr>
        <w:t>学校成立医学教育领导小组，建立实体运行的</w:t>
      </w:r>
      <w:r>
        <w:rPr>
          <w:rFonts w:hint="eastAsia" w:asciiTheme="majorEastAsia" w:hAnsiTheme="majorEastAsia" w:eastAsiaTheme="majorEastAsia" w:cstheme="majorEastAsia"/>
          <w:spacing w:val="-84"/>
          <w:sz w:val="28"/>
          <w:szCs w:val="28"/>
        </w:rPr>
        <w:t>“</w:t>
      </w:r>
      <w:r>
        <w:rPr>
          <w:rFonts w:hint="eastAsia" w:asciiTheme="majorEastAsia" w:hAnsiTheme="majorEastAsia" w:eastAsiaTheme="majorEastAsia" w:cstheme="majorEastAsia"/>
          <w:spacing w:val="-1"/>
          <w:sz w:val="28"/>
          <w:szCs w:val="28"/>
        </w:rPr>
        <w:t>湖州师范学院医学教</w:t>
      </w:r>
      <w:r>
        <w:rPr>
          <w:rFonts w:hint="eastAsia" w:asciiTheme="majorEastAsia" w:hAnsiTheme="majorEastAsia" w:eastAsiaTheme="majorEastAsia" w:cstheme="majorEastAsia"/>
          <w:spacing w:val="1"/>
          <w:sz w:val="28"/>
          <w:szCs w:val="28"/>
        </w:rPr>
        <w:t>育管理中心”与医学院、护理学院合署，统筹管理学科、专业</w:t>
      </w:r>
      <w:r>
        <w:rPr>
          <w:rFonts w:hint="eastAsia" w:asciiTheme="majorEastAsia" w:hAnsiTheme="majorEastAsia" w:eastAsiaTheme="majorEastAsia" w:cstheme="majorEastAsia"/>
          <w:sz w:val="28"/>
          <w:szCs w:val="28"/>
        </w:rPr>
        <w:t>建设</w:t>
      </w:r>
      <w:r>
        <w:rPr>
          <w:rFonts w:hint="eastAsia" w:asciiTheme="majorEastAsia" w:hAnsiTheme="majorEastAsia" w:eastAsiaTheme="majorEastAsia" w:cstheme="majorEastAsia"/>
          <w:spacing w:val="-3"/>
          <w:sz w:val="28"/>
          <w:szCs w:val="28"/>
        </w:rPr>
        <w:t>和人才培养。</w:t>
      </w:r>
      <w:r>
        <w:rPr>
          <w:rFonts w:hint="eastAsia" w:asciiTheme="majorEastAsia" w:hAnsiTheme="majorEastAsia" w:eastAsiaTheme="majorEastAsia" w:cstheme="majorEastAsia"/>
          <w:spacing w:val="-2"/>
          <w:sz w:val="28"/>
          <w:szCs w:val="28"/>
        </w:rPr>
        <w:t>目前有3所临床医学院/</w:t>
      </w:r>
      <w:r>
        <w:rPr>
          <w:rFonts w:hint="eastAsia" w:asciiTheme="majorEastAsia" w:hAnsiTheme="majorEastAsia" w:eastAsiaTheme="majorEastAsia" w:cstheme="majorEastAsia"/>
          <w:spacing w:val="1"/>
          <w:sz w:val="28"/>
          <w:szCs w:val="28"/>
        </w:rPr>
        <w:t>直属附属医院（第一临床医学院/附属第一医院、浙北临床医学院/附属中</w:t>
      </w:r>
      <w:r>
        <w:rPr>
          <w:rFonts w:hint="eastAsia" w:asciiTheme="majorEastAsia" w:hAnsiTheme="majorEastAsia" w:eastAsiaTheme="majorEastAsia" w:cstheme="majorEastAsia"/>
          <w:spacing w:val="-4"/>
          <w:sz w:val="28"/>
          <w:szCs w:val="28"/>
        </w:rPr>
        <w:t>心医院、</w:t>
      </w:r>
      <w:r>
        <w:rPr>
          <w:rFonts w:hint="eastAsia" w:asciiTheme="majorEastAsia" w:hAnsiTheme="majorEastAsia" w:eastAsiaTheme="majorEastAsia" w:cstheme="majorEastAsia"/>
          <w:spacing w:val="-76"/>
          <w:sz w:val="28"/>
          <w:szCs w:val="28"/>
        </w:rPr>
        <w:t xml:space="preserve"> </w:t>
      </w:r>
      <w:r>
        <w:rPr>
          <w:rFonts w:hint="eastAsia" w:asciiTheme="majorEastAsia" w:hAnsiTheme="majorEastAsia" w:eastAsiaTheme="majorEastAsia" w:cstheme="majorEastAsia"/>
          <w:spacing w:val="-4"/>
          <w:sz w:val="28"/>
          <w:szCs w:val="28"/>
        </w:rPr>
        <w:t>口腔医学系/附属口腔医院</w:t>
      </w:r>
      <w:r>
        <w:rPr>
          <w:rFonts w:hint="eastAsia" w:asciiTheme="majorEastAsia" w:hAnsiTheme="majorEastAsia" w:eastAsiaTheme="majorEastAsia" w:cstheme="majorEastAsia"/>
          <w:spacing w:val="12"/>
          <w:sz w:val="28"/>
          <w:szCs w:val="28"/>
        </w:rPr>
        <w:t>）；</w:t>
      </w:r>
      <w:r>
        <w:rPr>
          <w:rFonts w:hint="eastAsia" w:asciiTheme="majorEastAsia" w:hAnsiTheme="majorEastAsia" w:eastAsiaTheme="majorEastAsia" w:cstheme="majorEastAsia"/>
          <w:spacing w:val="-4"/>
          <w:sz w:val="28"/>
          <w:szCs w:val="28"/>
        </w:rPr>
        <w:t>3所非直属</w:t>
      </w:r>
      <w:r>
        <w:rPr>
          <w:rFonts w:hint="eastAsia" w:asciiTheme="majorEastAsia" w:hAnsiTheme="majorEastAsia" w:eastAsiaTheme="majorEastAsia" w:cstheme="majorEastAsia"/>
          <w:spacing w:val="-5"/>
          <w:sz w:val="28"/>
          <w:szCs w:val="28"/>
        </w:rPr>
        <w:t>附属医院（附属第三医</w:t>
      </w:r>
      <w:r>
        <w:rPr>
          <w:rFonts w:hint="eastAsia" w:asciiTheme="majorEastAsia" w:hAnsiTheme="majorEastAsia" w:eastAsiaTheme="majorEastAsia" w:cstheme="majorEastAsia"/>
          <w:spacing w:val="-3"/>
          <w:sz w:val="28"/>
          <w:szCs w:val="28"/>
        </w:rPr>
        <w:t>院、附属解放军72集团军医院、附属妇幼保</w:t>
      </w:r>
      <w:r>
        <w:rPr>
          <w:rFonts w:hint="eastAsia" w:asciiTheme="majorEastAsia" w:hAnsiTheme="majorEastAsia" w:eastAsiaTheme="majorEastAsia" w:cstheme="majorEastAsia"/>
          <w:spacing w:val="-4"/>
          <w:sz w:val="28"/>
          <w:szCs w:val="28"/>
        </w:rPr>
        <w:t>健院）；4所社区实践基地；</w:t>
      </w:r>
      <w:r>
        <w:rPr>
          <w:rFonts w:hint="eastAsia" w:asciiTheme="majorEastAsia" w:hAnsiTheme="majorEastAsia" w:eastAsiaTheme="majorEastAsia" w:cstheme="majorEastAsia"/>
          <w:spacing w:val="-1"/>
          <w:sz w:val="28"/>
          <w:szCs w:val="28"/>
        </w:rPr>
        <w:t>56所实习医院。</w:t>
      </w:r>
    </w:p>
    <w:p>
      <w:pPr>
        <w:autoSpaceDE/>
        <w:autoSpaceDN/>
        <w:spacing w:line="360" w:lineRule="auto"/>
        <w:ind w:firstLine="560" w:firstLineChars="200"/>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院十分注重学科专业建设，聘请省市医学教育专家组成医学学科专业建设指导委员会，指导医学学科专业建设。2021年通过教育部审核获批临床医学专业学位授权点，学院现拥有临床医学、护理学硕士专业学位授权点2个，临床医学、护理学、口腔医学本科专业3个，临床医学专科专业1个。</w:t>
      </w:r>
    </w:p>
    <w:p>
      <w:pPr>
        <w:autoSpaceDE/>
        <w:autoSpaceDN/>
        <w:spacing w:line="360" w:lineRule="auto"/>
        <w:ind w:firstLine="560" w:firstLineChars="200"/>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护理学专业为浙江省护理人才培养模式创新实验区、浙江省重点建设专业、浙江省特色专业、浙江省一流本科专业；护理学科为“十二五”浙江省重点学科、“十三五”浙江省一流学科、“十四五”浙江省一流学科。在我校附属第一医院原护理部主任、第35届国际南丁格尔奖获得者邹瑞芳老师和学校1996届优秀毕业生、第42届国际南丁格尔奖获得者潘美儿老师领衔的护理团队的不懈努力下，为浙江及周边省市培养了大批适应社会发展需求的高素质、应用型护理人才，形成了一定影响的学科、专业品牌特色。</w:t>
      </w:r>
    </w:p>
    <w:p>
      <w:pPr>
        <w:autoSpaceDE/>
        <w:autoSpaceDN/>
        <w:spacing w:line="360" w:lineRule="auto"/>
        <w:ind w:firstLine="560" w:firstLineChars="200"/>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办学以来，学院为区域卫生事业发展输送了一大批合格的医学人才，就业率高于全省同类专业的平均水平，毕业生受到用人单位的广泛好评，涌现的多名行业精英，在区域卫生事业发展和社会进步中做出了重要贡献。不忘初心，砥砺前行，学院在学校确定的建设“湖州师范大学”总目标引领下，充分利用学校的综合资源优势，以学科建设为龙头，以队伍建设为核心，以人才培养为根本，进一步解放思想、开拓进取，不断谋划新思路、新举措，为建设“湖州师范大学”作出应有贡献。</w:t>
      </w:r>
    </w:p>
    <w:p>
      <w:pPr>
        <w:pStyle w:val="2"/>
        <w:ind w:firstLine="280"/>
        <w:rPr>
          <w:rFonts w:asciiTheme="majorEastAsia" w:hAnsiTheme="majorEastAsia" w:eastAsiaTheme="majorEastAsia" w:cstheme="majorEastAsia"/>
          <w:lang w:eastAsia="zh-CN"/>
        </w:rPr>
      </w:pPr>
    </w:p>
    <w:p>
      <w:pPr>
        <w:pStyle w:val="2"/>
        <w:ind w:firstLine="280"/>
        <w:rPr>
          <w:rFonts w:asciiTheme="majorEastAsia" w:hAnsiTheme="majorEastAsia" w:eastAsiaTheme="majorEastAsia" w:cstheme="majorEastAsia"/>
          <w:lang w:eastAsia="zh-CN"/>
        </w:rPr>
      </w:pPr>
    </w:p>
    <w:p>
      <w:pPr>
        <w:pStyle w:val="2"/>
        <w:ind w:firstLine="280"/>
        <w:rPr>
          <w:rFonts w:asciiTheme="majorEastAsia" w:hAnsiTheme="majorEastAsia" w:eastAsiaTheme="majorEastAsia" w:cstheme="majorEastAsia"/>
          <w:lang w:eastAsia="zh-CN"/>
        </w:rPr>
      </w:pPr>
    </w:p>
    <w:p>
      <w:pPr>
        <w:spacing w:line="360" w:lineRule="auto"/>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一、学位授权点基本情况</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（一）目标及标准</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 培养目标</w:t>
      </w:r>
    </w:p>
    <w:p>
      <w:pPr>
        <w:spacing w:line="360" w:lineRule="auto"/>
        <w:ind w:firstLine="560" w:firstLineChars="200"/>
        <w:jc w:val="both"/>
        <w:outlineLvl w:val="0"/>
        <w:rPr>
          <w:rFonts w:ascii="宋体" w:hAnsi="宋体" w:eastAsia="宋体" w:cs="宋体"/>
          <w:sz w:val="28"/>
          <w:szCs w:val="28"/>
        </w:rPr>
      </w:pPr>
      <w:r>
        <w:rPr>
          <w:rFonts w:hint="eastAsia" w:asciiTheme="majorEastAsia" w:hAnsiTheme="majorEastAsia" w:eastAsiaTheme="majorEastAsia" w:cstheme="majorEastAsia"/>
          <w:sz w:val="28"/>
          <w:szCs w:val="28"/>
        </w:rPr>
        <w:t>培养热爱护理专业，具有人文关怀素质和奉献精神，掌握护理专业相关知识、理论和技能、具有较强的临床思维和决策能力，直接从事临床和社区护理实践的高层次、高素质、应用型、专科型护理人才。</w:t>
      </w:r>
      <w:r>
        <w:rPr>
          <w:rFonts w:hint="eastAsia" w:ascii="宋体" w:hAnsi="宋体" w:eastAsia="宋体" w:cs="宋体"/>
          <w:sz w:val="28"/>
          <w:szCs w:val="28"/>
        </w:rPr>
        <w:t>基本要求如下：</w:t>
      </w:r>
    </w:p>
    <w:p>
      <w:pPr>
        <w:pStyle w:val="2"/>
        <w:spacing w:line="360" w:lineRule="auto"/>
        <w:ind w:firstLine="560" w:firstLineChars="200"/>
        <w:rPr>
          <w:rFonts w:ascii="宋体" w:hAnsi="宋体" w:cs="宋体"/>
          <w:lang w:eastAsia="zh-CN"/>
        </w:rPr>
      </w:pPr>
      <w:r>
        <w:rPr>
          <w:rFonts w:hint="eastAsia" w:ascii="宋体" w:hAnsi="宋体" w:cs="宋体"/>
          <w:lang w:eastAsia="zh-CN"/>
        </w:rPr>
        <w:t>①掌握马克思主义基本原理和中国特色社会主义理论体系，具有良好的政治素质和职业操守，德才兼备，身体健康。</w:t>
      </w:r>
    </w:p>
    <w:p>
      <w:pPr>
        <w:pStyle w:val="2"/>
        <w:spacing w:line="360" w:lineRule="auto"/>
        <w:ind w:firstLine="560" w:firstLineChars="200"/>
        <w:rPr>
          <w:rFonts w:ascii="宋体" w:hAnsi="宋体" w:cs="宋体"/>
          <w:lang w:eastAsia="zh-CN"/>
        </w:rPr>
      </w:pPr>
      <w:r>
        <w:rPr>
          <w:rFonts w:hint="eastAsia" w:ascii="宋体" w:hAnsi="宋体" w:cs="宋体"/>
          <w:lang w:eastAsia="zh-CN"/>
        </w:rPr>
        <w:t>②掌握本学科坚实的基础理论和系统的专业知识，具有合格的临床专科护理工作能力。</w:t>
      </w:r>
    </w:p>
    <w:p>
      <w:pPr>
        <w:pStyle w:val="2"/>
        <w:spacing w:line="360" w:lineRule="auto"/>
        <w:ind w:firstLine="560" w:firstLineChars="200"/>
        <w:rPr>
          <w:rFonts w:ascii="宋体" w:hAnsi="宋体" w:cs="宋体"/>
          <w:lang w:eastAsia="zh-CN"/>
        </w:rPr>
      </w:pPr>
      <w:r>
        <w:rPr>
          <w:rFonts w:hint="eastAsia" w:ascii="宋体" w:hAnsi="宋体" w:cs="宋体"/>
          <w:lang w:eastAsia="zh-CN"/>
        </w:rPr>
        <w:t>③具有较强的临床分析和思维能力，能独立解决本学科领域内常见的护理问题，掌握临床护理教学技能，对下级护士进行业务指导，达到专科领域的临床工作水平。</w:t>
      </w:r>
    </w:p>
    <w:p>
      <w:pPr>
        <w:pStyle w:val="2"/>
        <w:spacing w:line="360" w:lineRule="auto"/>
        <w:ind w:firstLine="560" w:firstLineChars="200"/>
        <w:rPr>
          <w:rFonts w:ascii="宋体" w:hAnsi="宋体" w:cs="宋体"/>
          <w:lang w:eastAsia="zh-CN"/>
        </w:rPr>
      </w:pPr>
      <w:r>
        <w:rPr>
          <w:rFonts w:hint="eastAsia" w:ascii="宋体" w:hAnsi="宋体" w:cs="宋体"/>
          <w:lang w:eastAsia="zh-CN"/>
        </w:rPr>
        <w:t>④能结合临床护理实践，针对临床实践中的问题进行调查分析，提出对策。</w:t>
      </w:r>
    </w:p>
    <w:p>
      <w:pPr>
        <w:pStyle w:val="2"/>
        <w:spacing w:line="360" w:lineRule="auto"/>
        <w:ind w:firstLine="560" w:firstLineChars="200"/>
        <w:rPr>
          <w:lang w:eastAsia="zh-CN"/>
        </w:rPr>
      </w:pPr>
      <w:r>
        <w:rPr>
          <w:rFonts w:hint="eastAsia" w:ascii="宋体" w:hAnsi="宋体" w:cs="宋体"/>
          <w:lang w:eastAsia="zh-CN"/>
        </w:rPr>
        <w:t>⑤掌握一门外语，具有较熟练阅读本专业外文资料的能力。</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 学位标准</w:t>
      </w:r>
    </w:p>
    <w:p>
      <w:pPr>
        <w:spacing w:line="360" w:lineRule="auto"/>
        <w:ind w:firstLine="560" w:firstLineChars="200"/>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护理专业学位研究生应具备良好的政治素质及学术素养，具备自主学习、临床实践、沟通交流、科学研究、管理与协调、教学等方面的能力。依据《湖州师范学院硕士学位授予工作实施细则》，护理专业学位研究生按照培养计划完成规定的全部培养环节，包括课程修读后考试取得规定学分，完成专业方向及相关临床轮转且临床实践能力考核达标，完成硕士学位论文并通过答辩，成绩合格，并以第一作者、湖州师范学院为第一完成单位，在正式学术刊物上发表或录用与培养方向相关学术论文至少1篇。学生提出学位申请，经学院、学校学位评定委员会审议，通过者授予护理硕士学位。</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（二）基本条件</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 培养特色</w:t>
      </w:r>
    </w:p>
    <w:p>
      <w:pPr>
        <w:autoSpaceDE/>
        <w:autoSpaceDN/>
        <w:spacing w:line="360" w:lineRule="auto"/>
        <w:ind w:firstLine="560" w:firstLineChars="200"/>
        <w:jc w:val="both"/>
        <w:outlineLvl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创设“立体式”人文素养育人体系，形成人文精神培育全程化的人才培养特色，着力培养人文素养与专业素质并重的复合性人才。充分发挥我校两位南丁格尔奖章获得者的影响力，形成从榜样引领到理论教学到关爱实践的人文教育培养模式，注重人文素质对人才成长的奠基和促进作用。构建人文课程体系和第一、二课堂融通，以“南丁格尔教育馆”、“5.12”护士加冕仪式、“南丁格尔大讲堂”、“南丁格尔专业志愿服务队”、“南丁格尔足迹探访”等主题活动为载体传承与弘扬南丁格尔精神，滋养学生的人文素质和专业精神。充分利用南丁格尔精神在浙江的传承地和综合性大学学科门类齐全的优势，构建了以医院、学校、卫生行业主管部门“三位一体、重在临床、强化人文”为特色的“校地共育”人才培养模式，实行“双导师”制，以专科护士培养标准为要求，构建个性化护理专硕临床实践方案。</w:t>
      </w:r>
    </w:p>
    <w:p>
      <w:pPr>
        <w:spacing w:line="360" w:lineRule="auto"/>
        <w:jc w:val="both"/>
        <w:outlineLvl w:val="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 师资队伍</w:t>
      </w:r>
    </w:p>
    <w:p>
      <w:pPr>
        <w:spacing w:line="360" w:lineRule="auto"/>
        <w:ind w:firstLine="560" w:firstLineChars="200"/>
        <w:jc w:val="both"/>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sz w:val="28"/>
          <w:szCs w:val="28"/>
        </w:rPr>
        <w:t>拥有一支学历结构合理、业务素质高的教师队伍（见表1），能够满足本学位点硕士专业学位研究生的培养要求。本年度共有专任教师35人,其中35岁及以下7人（20.0%），36-45岁16人（45.7%），46-59岁11人（31.4%），60岁及以上1人（2.9%）。</w:t>
      </w:r>
      <w:r>
        <w:rPr>
          <w:rFonts w:hint="eastAsia" w:asciiTheme="majorEastAsia" w:hAnsiTheme="majorEastAsia" w:eastAsiaTheme="majorEastAsia" w:cstheme="majorEastAsia"/>
          <w:color w:val="auto"/>
          <w:sz w:val="28"/>
          <w:szCs w:val="28"/>
        </w:rPr>
        <w:t>正高级职称16人（45.7%）,副高级职称12人（34.3%）,中级职称7人（20.0%）；具有硕士学位8人（22.9%）,具有博士学位12人（34.3%）。根据《硕士研究生指导教师遴选与管理办法(试行)》（湖师院发〔2018〕46号）文件精神，本年度新遴选护理硕士专业学位研究生导师6人，现有导师103人，其中校内导师26人（25.2%），校外导师77（74.8%）,能够为护理专业学位硕士研究生的临床实践与科学研究提供全方位的指导。</w:t>
      </w:r>
    </w:p>
    <w:p>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3"/>
          <w:sz w:val="28"/>
          <w:szCs w:val="28"/>
        </w:rPr>
        <w:t>表1 专任教师数量及结构</w:t>
      </w:r>
    </w:p>
    <w:tbl>
      <w:tblPr>
        <w:tblStyle w:val="8"/>
        <w:tblW w:w="8878" w:type="dxa"/>
        <w:tblInd w:w="98" w:type="dxa"/>
        <w:tblLayout w:type="fixed"/>
        <w:tblCellMar>
          <w:top w:w="0" w:type="dxa"/>
          <w:left w:w="108" w:type="dxa"/>
          <w:bottom w:w="0" w:type="dxa"/>
          <w:right w:w="108" w:type="dxa"/>
        </w:tblCellMar>
      </w:tblPr>
      <w:tblGrid>
        <w:gridCol w:w="980"/>
        <w:gridCol w:w="598"/>
        <w:gridCol w:w="694"/>
        <w:gridCol w:w="823"/>
        <w:gridCol w:w="934"/>
        <w:gridCol w:w="730"/>
        <w:gridCol w:w="705"/>
        <w:gridCol w:w="823"/>
        <w:gridCol w:w="824"/>
        <w:gridCol w:w="888"/>
        <w:gridCol w:w="879"/>
      </w:tblGrid>
      <w:tr>
        <w:tblPrEx>
          <w:tblCellMar>
            <w:top w:w="0" w:type="dxa"/>
            <w:left w:w="108" w:type="dxa"/>
            <w:bottom w:w="0" w:type="dxa"/>
            <w:right w:w="108" w:type="dxa"/>
          </w:tblCellMar>
        </w:tblPrEx>
        <w:trPr>
          <w:trHeight w:val="496"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专业技术职务</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人数合计</w:t>
            </w:r>
          </w:p>
        </w:tc>
        <w:tc>
          <w:tcPr>
            <w:tcW w:w="3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年龄分布</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学历结构</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硕士导师人数</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行业经历教师</w:t>
            </w:r>
          </w:p>
        </w:tc>
      </w:tr>
      <w:tr>
        <w:tblPrEx>
          <w:tblCellMar>
            <w:top w:w="0" w:type="dxa"/>
            <w:left w:w="108" w:type="dxa"/>
            <w:bottom w:w="0" w:type="dxa"/>
            <w:right w:w="108" w:type="dxa"/>
          </w:tblCellMar>
        </w:tblPrEx>
        <w:trPr>
          <w:trHeight w:val="9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stheme="majorEastAsia"/>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stheme="majorEastAsia"/>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25岁及以下</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26至35岁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36至45岁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46至59岁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60岁及以上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lang w:bidi="ar"/>
              </w:rPr>
            </w:pPr>
            <w:r>
              <w:rPr>
                <w:rFonts w:hint="eastAsia" w:asciiTheme="majorEastAsia" w:hAnsiTheme="majorEastAsia" w:eastAsiaTheme="majorEastAsia" w:cstheme="majorEastAsia"/>
                <w:lang w:bidi="ar"/>
              </w:rPr>
              <w:t>博士</w:t>
            </w:r>
          </w:p>
          <w:p>
            <w:pPr>
              <w:spacing w:line="360" w:lineRule="auto"/>
              <w:jc w:val="center"/>
              <w:textAlignment w:val="center"/>
              <w:rPr>
                <w:rFonts w:asciiTheme="majorEastAsia" w:hAnsiTheme="majorEastAsia" w:eastAsiaTheme="majorEastAsia" w:cstheme="majorEastAsia"/>
                <w:lang w:bidi="ar"/>
              </w:rPr>
            </w:pPr>
            <w:r>
              <w:rPr>
                <w:rFonts w:hint="eastAsia" w:asciiTheme="majorEastAsia" w:hAnsiTheme="majorEastAsia" w:eastAsiaTheme="majorEastAsia" w:cstheme="majorEastAsia"/>
                <w:lang w:bidi="ar"/>
              </w:rPr>
              <w:t>学位</w:t>
            </w:r>
          </w:p>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教师</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硕士学位教师</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stheme="majorEastAsia"/>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ajorEastAsia" w:hAnsiTheme="majorEastAsia" w:eastAsiaTheme="majorEastAsia" w:cstheme="majorEastAsia"/>
              </w:rPr>
            </w:pPr>
          </w:p>
        </w:tc>
      </w:tr>
      <w:tr>
        <w:tblPrEx>
          <w:tblCellMar>
            <w:top w:w="0" w:type="dxa"/>
            <w:left w:w="108" w:type="dxa"/>
            <w:bottom w:w="0" w:type="dxa"/>
            <w:right w:w="108" w:type="dxa"/>
          </w:tblCellMar>
        </w:tblPrEx>
        <w:trPr>
          <w:trHeight w:val="50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正高级</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16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6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9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1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3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3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16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16 </w:t>
            </w:r>
          </w:p>
        </w:tc>
      </w:tr>
      <w:tr>
        <w:tblPrEx>
          <w:tblCellMar>
            <w:top w:w="0" w:type="dxa"/>
            <w:left w:w="108" w:type="dxa"/>
            <w:bottom w:w="0" w:type="dxa"/>
            <w:right w:w="108" w:type="dxa"/>
          </w:tblCellMar>
        </w:tblPrEx>
        <w:trPr>
          <w:trHeight w:val="50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副高级</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1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9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2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6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12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12 </w:t>
            </w:r>
          </w:p>
        </w:tc>
      </w:tr>
      <w:tr>
        <w:tblPrEx>
          <w:tblCellMar>
            <w:top w:w="0" w:type="dxa"/>
            <w:left w:w="108" w:type="dxa"/>
            <w:bottom w:w="0" w:type="dxa"/>
            <w:right w:w="108" w:type="dxa"/>
          </w:tblCellMar>
        </w:tblPrEx>
        <w:trPr>
          <w:trHeight w:val="50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中级</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7</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6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1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3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4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asciiTheme="majorEastAsia" w:hAnsiTheme="majorEastAsia" w:eastAsiaTheme="majorEastAsia" w:cstheme="majorEastAsia"/>
                <w:color w:val="000000" w:themeColor="text1"/>
                <w:lang w:bidi="ar"/>
                <w14:textFill>
                  <w14:solidFill>
                    <w14:schemeClr w14:val="tx1"/>
                  </w14:solidFill>
                </w14:textFill>
              </w:rPr>
              <w:t>7</w:t>
            </w:r>
            <w:r>
              <w:rPr>
                <w:rFonts w:hint="eastAsia" w:asciiTheme="majorEastAsia" w:hAnsiTheme="majorEastAsia" w:eastAsiaTheme="majorEastAsia" w:cstheme="majorEastAsia"/>
                <w:color w:val="000000" w:themeColor="text1"/>
                <w:lang w:bidi="ar"/>
                <w14:textFill>
                  <w14:solidFill>
                    <w14:schemeClr w14:val="tx1"/>
                  </w14:solidFill>
                </w14:textFill>
              </w:rPr>
              <w:t xml:space="preserve"> </w:t>
            </w:r>
          </w:p>
        </w:tc>
      </w:tr>
      <w:tr>
        <w:tblPrEx>
          <w:tblCellMar>
            <w:top w:w="0" w:type="dxa"/>
            <w:left w:w="108" w:type="dxa"/>
            <w:bottom w:w="0" w:type="dxa"/>
            <w:right w:w="108" w:type="dxa"/>
          </w:tblCellMar>
        </w:tblPrEx>
        <w:trPr>
          <w:trHeight w:val="50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其他</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0 </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 xml:space="preserve">0 </w:t>
            </w:r>
          </w:p>
        </w:tc>
      </w:tr>
      <w:tr>
        <w:tblPrEx>
          <w:tblCellMar>
            <w:top w:w="0" w:type="dxa"/>
            <w:left w:w="108" w:type="dxa"/>
            <w:bottom w:w="0" w:type="dxa"/>
            <w:right w:w="108" w:type="dxa"/>
          </w:tblCellMar>
        </w:tblPrEx>
        <w:trPr>
          <w:trHeight w:val="50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合计</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 xml:space="preserve">35 </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16</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lang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12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bidi="ar"/>
                <w14:textFill>
                  <w14:solidFill>
                    <w14:schemeClr w14:val="tx1"/>
                  </w14:solidFill>
                </w14:textFill>
              </w:rPr>
              <w:t>3</w:t>
            </w:r>
            <w:r>
              <w:rPr>
                <w:rFonts w:asciiTheme="majorEastAsia" w:hAnsiTheme="majorEastAsia" w:eastAsiaTheme="majorEastAsia" w:cstheme="majorEastAsia"/>
                <w:color w:val="000000" w:themeColor="text1"/>
                <w:lang w:bidi="ar"/>
                <w14:textFill>
                  <w14:solidFill>
                    <w14:schemeClr w14:val="tx1"/>
                  </w14:solidFill>
                </w14:textFill>
              </w:rPr>
              <w:t>5</w:t>
            </w:r>
          </w:p>
        </w:tc>
      </w:tr>
    </w:tbl>
    <w:p>
      <w:pPr>
        <w:spacing w:line="360" w:lineRule="auto"/>
        <w:jc w:val="both"/>
        <w:rPr>
          <w:rFonts w:asciiTheme="majorEastAsia" w:hAnsiTheme="majorEastAsia" w:eastAsiaTheme="majorEastAsia" w:cstheme="majorEastAsia"/>
          <w:b/>
          <w:bCs/>
          <w:sz w:val="28"/>
          <w:szCs w:val="28"/>
        </w:rPr>
      </w:pPr>
    </w:p>
    <w:p>
      <w:pPr>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 科学研究</w:t>
      </w:r>
    </w:p>
    <w:p>
      <w:pPr>
        <w:autoSpaceDE/>
        <w:autoSpaceDN/>
        <w:spacing w:line="360" w:lineRule="auto"/>
        <w:ind w:firstLine="560" w:firstLineChars="200"/>
        <w:jc w:val="both"/>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教师团队依托学校众多学科交叉融合体系、高层次科研平台、以及产学研联合培养基地资源积极开展科学研究，研究内容涵盖老年护理、精神卫生、危重症护理、急救护理等。2021年度重点关注慢病管理、危重症患者照护、老年人群健康、术后早期康复等，运用科学方法解决临床实际问题，为临床护理工作提供有益指导。</w:t>
      </w: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本年度学位点成功申报国家自然科学基金2项，省级相关科研项目4项，科研经费总计99.4万元（见表2），科研经费总额创历史新高。发表SCI论文9篇，核心及以上论文15余篇，获发明专利1项，即portable urine bag and its clamping head，为患者提供便利，改善其生活质量，另申请实用新型专利15项，如一种卧床病人医疗护理床上洗脚支架、一种卧床患者腿部锻炼装置、一种ICU床用护理支架、一种跌倒警示手表、一种呼吸机湿化罐自动控水防倾倒装置、一种安全型采血针、一种可调节内腔大小的面罩等更好地服务患者，提高患者安全。 </w:t>
      </w:r>
    </w:p>
    <w:p>
      <w:pPr>
        <w:spacing w:line="360" w:lineRule="auto"/>
        <w:jc w:val="center"/>
        <w:rPr>
          <w:rFonts w:asciiTheme="majorEastAsia" w:hAnsiTheme="majorEastAsia" w:eastAsiaTheme="majorEastAsia" w:cstheme="majorEastAsia"/>
          <w:b/>
          <w:bCs/>
          <w:spacing w:val="-3"/>
          <w:sz w:val="28"/>
          <w:szCs w:val="28"/>
        </w:rPr>
      </w:pPr>
      <w:r>
        <w:rPr>
          <w:rFonts w:hint="eastAsia" w:asciiTheme="majorEastAsia" w:hAnsiTheme="majorEastAsia" w:eastAsiaTheme="majorEastAsia" w:cstheme="majorEastAsia"/>
          <w:b/>
          <w:bCs/>
          <w:spacing w:val="-3"/>
          <w:sz w:val="28"/>
          <w:szCs w:val="28"/>
        </w:rPr>
        <w:t>表2 纵向、横向到</w:t>
      </w:r>
      <w:r>
        <w:rPr>
          <w:rFonts w:hint="eastAsia" w:asciiTheme="majorEastAsia" w:hAnsiTheme="majorEastAsia" w:eastAsiaTheme="majorEastAsia" w:cstheme="majorEastAsia"/>
          <w:b/>
          <w:bCs/>
          <w:spacing w:val="-3"/>
          <w:sz w:val="28"/>
          <w:szCs w:val="28"/>
          <w:lang w:val="en-US" w:eastAsia="zh-CN"/>
        </w:rPr>
        <w:t>账</w:t>
      </w:r>
      <w:r>
        <w:rPr>
          <w:rFonts w:hint="eastAsia" w:asciiTheme="majorEastAsia" w:hAnsiTheme="majorEastAsia" w:eastAsiaTheme="majorEastAsia" w:cstheme="majorEastAsia"/>
          <w:b/>
          <w:bCs/>
          <w:spacing w:val="-3"/>
          <w:sz w:val="28"/>
          <w:szCs w:val="28"/>
        </w:rPr>
        <w:t>科研经费数</w:t>
      </w:r>
    </w:p>
    <w:tbl>
      <w:tblPr>
        <w:tblStyle w:val="12"/>
        <w:tblpPr w:leftFromText="180" w:rightFromText="180" w:vertAnchor="text" w:horzAnchor="page" w:tblpX="2491" w:tblpY="65"/>
        <w:tblOverlap w:val="never"/>
        <w:tblW w:w="68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279"/>
        <w:gridCol w:w="2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935" w:type="dxa"/>
            <w:vMerge w:val="restart"/>
            <w:tcBorders>
              <w:bottom w:val="nil"/>
            </w:tcBorders>
            <w:vAlign w:val="center"/>
          </w:tcPr>
          <w:p>
            <w:pPr>
              <w:spacing w:line="36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5"/>
              </w:rPr>
              <w:t>年度</w:t>
            </w:r>
          </w:p>
        </w:tc>
        <w:tc>
          <w:tcPr>
            <w:tcW w:w="4886" w:type="dxa"/>
            <w:gridSpan w:val="2"/>
            <w:vAlign w:val="center"/>
          </w:tcPr>
          <w:p>
            <w:pPr>
              <w:spacing w:line="360" w:lineRule="auto"/>
              <w:jc w:val="center"/>
              <w:rPr>
                <w:rFonts w:asciiTheme="majorEastAsia" w:hAnsiTheme="majorEastAsia" w:eastAsiaTheme="majorEastAsia" w:cstheme="majorEastAsia"/>
                <w:b w:val="0"/>
                <w:bCs w:val="0"/>
                <w:spacing w:val="4"/>
              </w:rPr>
            </w:pPr>
            <w:r>
              <w:rPr>
                <w:rFonts w:hint="eastAsia" w:asciiTheme="majorEastAsia" w:hAnsiTheme="majorEastAsia" w:eastAsiaTheme="majorEastAsia" w:cstheme="majorEastAsia"/>
                <w:b w:val="0"/>
                <w:bCs w:val="0"/>
                <w:spacing w:val="4"/>
              </w:rPr>
              <w:t>数量(万元)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935" w:type="dxa"/>
            <w:vMerge w:val="continue"/>
            <w:tcBorders>
              <w:top w:val="nil"/>
            </w:tcBorders>
            <w:vAlign w:val="center"/>
          </w:tcPr>
          <w:p>
            <w:pPr>
              <w:spacing w:line="360" w:lineRule="auto"/>
              <w:jc w:val="center"/>
              <w:rPr>
                <w:rFonts w:asciiTheme="majorEastAsia" w:hAnsiTheme="majorEastAsia" w:eastAsiaTheme="majorEastAsia" w:cstheme="majorEastAsia"/>
                <w:b w:val="0"/>
                <w:bCs w:val="0"/>
              </w:rPr>
            </w:pPr>
          </w:p>
        </w:tc>
        <w:tc>
          <w:tcPr>
            <w:tcW w:w="2279" w:type="dxa"/>
            <w:vAlign w:val="center"/>
          </w:tcPr>
          <w:p>
            <w:pPr>
              <w:spacing w:line="36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4"/>
              </w:rPr>
              <w:t>纵向科研经费</w:t>
            </w:r>
          </w:p>
        </w:tc>
        <w:tc>
          <w:tcPr>
            <w:tcW w:w="2607" w:type="dxa"/>
            <w:vAlign w:val="center"/>
          </w:tcPr>
          <w:p>
            <w:pPr>
              <w:spacing w:line="360" w:lineRule="auto"/>
              <w:jc w:val="center"/>
              <w:rPr>
                <w:rFonts w:asciiTheme="majorEastAsia" w:hAnsiTheme="majorEastAsia" w:eastAsiaTheme="majorEastAsia" w:cstheme="majorEastAsia"/>
                <w:b w:val="0"/>
                <w:bCs w:val="0"/>
                <w:spacing w:val="-4"/>
              </w:rPr>
            </w:pPr>
            <w:r>
              <w:rPr>
                <w:rFonts w:hint="eastAsia" w:asciiTheme="majorEastAsia" w:hAnsiTheme="majorEastAsia" w:eastAsiaTheme="majorEastAsia" w:cstheme="majorEastAsia"/>
                <w:b w:val="0"/>
                <w:bCs w:val="0"/>
                <w:spacing w:val="-4"/>
              </w:rPr>
              <w:t>横向科研经费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935"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2021</w:t>
            </w:r>
          </w:p>
        </w:tc>
        <w:tc>
          <w:tcPr>
            <w:tcW w:w="2279"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99.4</w:t>
            </w:r>
          </w:p>
        </w:tc>
        <w:tc>
          <w:tcPr>
            <w:tcW w:w="2607" w:type="dxa"/>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146</w:t>
            </w:r>
          </w:p>
        </w:tc>
      </w:tr>
    </w:tbl>
    <w:p>
      <w:pPr>
        <w:pStyle w:val="2"/>
        <w:spacing w:line="360" w:lineRule="auto"/>
        <w:ind w:firstLine="278"/>
        <w:rPr>
          <w:rFonts w:asciiTheme="majorEastAsia" w:hAnsiTheme="majorEastAsia" w:eastAsiaTheme="majorEastAsia" w:cstheme="majorEastAsia"/>
          <w:b/>
          <w:bCs/>
          <w:spacing w:val="-3"/>
        </w:rPr>
      </w:pPr>
    </w:p>
    <w:p>
      <w:pPr>
        <w:pStyle w:val="2"/>
        <w:spacing w:line="360" w:lineRule="auto"/>
        <w:ind w:firstLine="278"/>
        <w:rPr>
          <w:rFonts w:asciiTheme="majorEastAsia" w:hAnsiTheme="majorEastAsia" w:eastAsiaTheme="majorEastAsia" w:cstheme="majorEastAsia"/>
          <w:b/>
          <w:bCs/>
          <w:spacing w:val="-3"/>
        </w:rPr>
      </w:pPr>
    </w:p>
    <w:p>
      <w:pPr>
        <w:pStyle w:val="2"/>
        <w:spacing w:line="360" w:lineRule="auto"/>
        <w:ind w:left="0" w:leftChars="0" w:firstLine="0" w:firstLineChars="0"/>
        <w:rPr>
          <w:rFonts w:asciiTheme="majorEastAsia" w:hAnsiTheme="majorEastAsia" w:eastAsiaTheme="majorEastAsia" w:cstheme="majorEastAsia"/>
          <w:b/>
          <w:bCs/>
          <w:spacing w:val="-3"/>
        </w:rPr>
      </w:pPr>
    </w:p>
    <w:p>
      <w:pPr>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 教学科研支撑</w:t>
      </w:r>
    </w:p>
    <w:p>
      <w:pPr>
        <w:pStyle w:val="2"/>
        <w:spacing w:line="360" w:lineRule="auto"/>
        <w:ind w:firstLine="0" w:firstLineChars="0"/>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（1）教学等相关资源</w:t>
      </w:r>
    </w:p>
    <w:p>
      <w:pPr>
        <w:autoSpaceDE/>
        <w:autoSpaceDN/>
        <w:spacing w:line="360" w:lineRule="auto"/>
        <w:ind w:firstLine="56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校拥有各类功能的教室：在用多媒体教室254间（其中语音教室9间、小组讨论教室9间、智慧教室11间），座位数19062个；全校计算机共计3678台，其中公共机房10间，配备计算机750台。各类功能教室通过录播、标准化考场和网络学习等功能有机整合，有利于现代信息化教学开展。校图书馆与CALIS、ZADL、国家图书馆、浙江大学图书馆、宁波大学图书馆等建立资源共享合作关系，拓宽文献资源获取途径。设有阅览座位1667个，周开放时间98小时。全校体育馆及室外运动场总面积2.95万平方米（其中体育馆0.63万平方米）。建有篮球、排球、羽毛球等室内场地8个，室外设有运动场1个、篮排球等场地37个，所有场馆面向全校师生开放，能够满足体育教学及课外体育锻炼需要。</w:t>
      </w:r>
    </w:p>
    <w:p>
      <w:pPr>
        <w:autoSpaceDE/>
        <w:autoSpaceDN/>
        <w:spacing w:line="360" w:lineRule="auto"/>
        <w:ind w:firstLine="556" w:firstLineChars="200"/>
        <w:jc w:val="both"/>
        <w:rPr>
          <w:rFonts w:asciiTheme="majorEastAsia" w:hAnsiTheme="majorEastAsia" w:eastAsiaTheme="majorEastAsia" w:cstheme="majorEastAsia"/>
          <w:spacing w:val="1"/>
          <w:sz w:val="28"/>
          <w:szCs w:val="28"/>
        </w:rPr>
      </w:pPr>
      <w:r>
        <w:rPr>
          <w:rFonts w:hint="eastAsia" w:asciiTheme="majorEastAsia" w:hAnsiTheme="majorEastAsia" w:eastAsiaTheme="majorEastAsia" w:cstheme="majorEastAsia"/>
          <w:spacing w:val="-1"/>
          <w:sz w:val="28"/>
          <w:szCs w:val="28"/>
        </w:rPr>
        <w:t>学院建有用于护理专业实验实训场所，总建筑面积1.6万平方米，实</w:t>
      </w:r>
      <w:r>
        <w:rPr>
          <w:rFonts w:hint="eastAsia" w:asciiTheme="majorEastAsia" w:hAnsiTheme="majorEastAsia" w:eastAsiaTheme="majorEastAsia" w:cstheme="majorEastAsia"/>
          <w:sz w:val="28"/>
          <w:szCs w:val="28"/>
        </w:rPr>
        <w:t>验教学设备模型资产总值约2</w:t>
      </w:r>
      <w:r>
        <w:rPr>
          <w:rFonts w:asciiTheme="majorEastAsia" w:hAnsiTheme="majorEastAsia" w:eastAsiaTheme="majorEastAsia" w:cstheme="majorEastAsia"/>
          <w:sz w:val="28"/>
          <w:szCs w:val="28"/>
        </w:rPr>
        <w:t>200</w:t>
      </w:r>
      <w:r>
        <w:rPr>
          <w:rFonts w:hint="eastAsia" w:asciiTheme="majorEastAsia" w:hAnsiTheme="majorEastAsia" w:eastAsiaTheme="majorEastAsia" w:cstheme="majorEastAsia"/>
          <w:sz w:val="28"/>
          <w:szCs w:val="28"/>
        </w:rPr>
        <w:t>万元</w:t>
      </w:r>
      <w:r>
        <w:rPr>
          <w:rFonts w:hint="eastAsia" w:asciiTheme="majorEastAsia" w:hAnsiTheme="majorEastAsia" w:eastAsiaTheme="majorEastAsia" w:cstheme="majorEastAsia"/>
          <w:spacing w:val="1"/>
          <w:sz w:val="28"/>
          <w:szCs w:val="28"/>
        </w:rPr>
        <w:t>。护理专业的实验实训教学场所包括基础医学实验教学中心、临床技能实训中心、护理技能实训中心、科研训练平台（见图1）。护理技能实训中心是护理研究生专业课程实验实践的</w:t>
      </w:r>
      <w:r>
        <w:rPr>
          <w:rFonts w:hint="eastAsia" w:asciiTheme="majorEastAsia" w:hAnsiTheme="majorEastAsia" w:eastAsiaTheme="majorEastAsia" w:cstheme="majorEastAsia"/>
          <w:sz w:val="28"/>
          <w:szCs w:val="28"/>
        </w:rPr>
        <w:t>重要场</w:t>
      </w:r>
      <w:r>
        <w:rPr>
          <w:rFonts w:hint="eastAsia" w:asciiTheme="majorEastAsia" w:hAnsiTheme="majorEastAsia" w:eastAsiaTheme="majorEastAsia" w:cstheme="majorEastAsia"/>
          <w:spacing w:val="1"/>
          <w:sz w:val="28"/>
          <w:szCs w:val="28"/>
        </w:rPr>
        <w:t>所。护理技能实训中心下设基础护理技能训练模块区、专科护理技能训练模块区、生命支持仿真模拟训练模块区、老年健康管理与康复实验室区、人文护理训练模块区等5大模块区（见表</w:t>
      </w:r>
      <w:r>
        <w:rPr>
          <w:rFonts w:hint="eastAsia" w:asciiTheme="majorEastAsia" w:hAnsiTheme="majorEastAsia" w:eastAsiaTheme="majorEastAsia" w:cstheme="majorEastAsia"/>
          <w:spacing w:val="-39"/>
          <w:sz w:val="28"/>
          <w:szCs w:val="28"/>
        </w:rPr>
        <w:t>3</w:t>
      </w:r>
      <w:r>
        <w:rPr>
          <w:rFonts w:hint="eastAsia" w:asciiTheme="majorEastAsia" w:hAnsiTheme="majorEastAsia" w:eastAsiaTheme="majorEastAsia" w:cstheme="majorEastAsia"/>
          <w:spacing w:val="1"/>
          <w:sz w:val="28"/>
          <w:szCs w:val="28"/>
        </w:rPr>
        <w:t>）。生命支持</w:t>
      </w:r>
      <w:r>
        <w:rPr>
          <w:rFonts w:hint="eastAsia" w:asciiTheme="majorEastAsia" w:hAnsiTheme="majorEastAsia" w:eastAsiaTheme="majorEastAsia" w:cstheme="majorEastAsia"/>
          <w:spacing w:val="-1"/>
          <w:sz w:val="28"/>
          <w:szCs w:val="28"/>
        </w:rPr>
        <w:t>仿真模拟训练模块区建有高级生命支持仿真实验室4间，拥有高仿真模拟</w:t>
      </w:r>
      <w:r>
        <w:rPr>
          <w:rFonts w:hint="eastAsia" w:asciiTheme="majorEastAsia" w:hAnsiTheme="majorEastAsia" w:eastAsiaTheme="majorEastAsia" w:cstheme="majorEastAsia"/>
          <w:spacing w:val="-7"/>
          <w:sz w:val="28"/>
          <w:szCs w:val="28"/>
        </w:rPr>
        <w:t>人6个，价值300余万元，配备了心电监护仪、呼吸机、除颤仪、洗胃机、</w:t>
      </w:r>
      <w:r>
        <w:rPr>
          <w:rFonts w:hint="eastAsia" w:asciiTheme="majorEastAsia" w:hAnsiTheme="majorEastAsia" w:eastAsiaTheme="majorEastAsia" w:cstheme="majorEastAsia"/>
          <w:spacing w:val="1"/>
          <w:sz w:val="28"/>
          <w:szCs w:val="28"/>
        </w:rPr>
        <w:t>高级急救车、高级心肺复苏模型等系列急救仪器器材数套；护理学基础实验室拥有成人、小儿静脉穿刺虚拟训练系统、模拟输液手臂等；妇儿实训室有高级分娩模型、智能数字化婴儿综合急救技能训练模拟人、交互式一岁儿童模拟系统、标准型智能婴儿互动照料模型等；循证护理实验室每年</w:t>
      </w:r>
      <w:r>
        <w:rPr>
          <w:rFonts w:hint="eastAsia" w:asciiTheme="majorEastAsia" w:hAnsiTheme="majorEastAsia" w:eastAsiaTheme="majorEastAsia" w:cstheme="majorEastAsia"/>
          <w:spacing w:val="-2"/>
          <w:sz w:val="28"/>
          <w:szCs w:val="28"/>
        </w:rPr>
        <w:t>订购更新JBI数据库。与临床专业共用OSCE中心，该中心设有控制</w:t>
      </w:r>
      <w:r>
        <w:rPr>
          <w:rFonts w:hint="eastAsia" w:asciiTheme="majorEastAsia" w:hAnsiTheme="majorEastAsia" w:eastAsiaTheme="majorEastAsia" w:cstheme="majorEastAsia"/>
          <w:spacing w:val="-1"/>
          <w:sz w:val="28"/>
          <w:szCs w:val="28"/>
        </w:rPr>
        <w:t>室、SP培训室、标准化考站，拥有客观结构化临床考试综合管理系统</w:t>
      </w:r>
      <w:r>
        <w:rPr>
          <w:rFonts w:hint="eastAsia" w:asciiTheme="majorEastAsia" w:hAnsiTheme="majorEastAsia" w:eastAsiaTheme="majorEastAsia" w:cstheme="majorEastAsia"/>
          <w:spacing w:val="-2"/>
          <w:sz w:val="28"/>
          <w:szCs w:val="28"/>
        </w:rPr>
        <w:t>和临</w:t>
      </w:r>
      <w:r>
        <w:rPr>
          <w:rFonts w:hint="eastAsia" w:asciiTheme="majorEastAsia" w:hAnsiTheme="majorEastAsia" w:eastAsiaTheme="majorEastAsia" w:cstheme="majorEastAsia"/>
          <w:spacing w:val="-1"/>
          <w:sz w:val="28"/>
          <w:szCs w:val="28"/>
        </w:rPr>
        <w:t>床综合能力训练系统，借助SP、模型、微机等模拟临床场景来</w:t>
      </w:r>
      <w:r>
        <w:rPr>
          <w:rFonts w:hint="eastAsia" w:asciiTheme="majorEastAsia" w:hAnsiTheme="majorEastAsia" w:eastAsiaTheme="majorEastAsia" w:cstheme="majorEastAsia"/>
          <w:spacing w:val="-2"/>
          <w:sz w:val="28"/>
          <w:szCs w:val="28"/>
        </w:rPr>
        <w:t>测试考生的</w:t>
      </w:r>
      <w:r>
        <w:rPr>
          <w:rFonts w:hint="eastAsia" w:asciiTheme="majorEastAsia" w:hAnsiTheme="majorEastAsia" w:eastAsiaTheme="majorEastAsia" w:cstheme="majorEastAsia"/>
          <w:spacing w:val="1"/>
          <w:sz w:val="28"/>
          <w:szCs w:val="28"/>
        </w:rPr>
        <w:t>临床思维能力和实际操作能力，客观反应学生知识、技能和态度并重的综合能力。研究生临床实践能力中期、终期考核均在</w:t>
      </w:r>
      <w:r>
        <w:rPr>
          <w:rFonts w:hint="eastAsia" w:asciiTheme="majorEastAsia" w:hAnsiTheme="majorEastAsia" w:eastAsiaTheme="majorEastAsia" w:cstheme="majorEastAsia"/>
          <w:spacing w:val="-2"/>
          <w:sz w:val="28"/>
          <w:szCs w:val="28"/>
        </w:rPr>
        <w:t>OSCE中心</w:t>
      </w:r>
      <w:r>
        <w:rPr>
          <w:rFonts w:hint="eastAsia" w:asciiTheme="majorEastAsia" w:hAnsiTheme="majorEastAsia" w:eastAsiaTheme="majorEastAsia" w:cstheme="majorEastAsia"/>
          <w:spacing w:val="1"/>
          <w:sz w:val="28"/>
          <w:szCs w:val="28"/>
        </w:rPr>
        <w:t>完成。该中心为护理研究生</w:t>
      </w:r>
      <w:r>
        <w:rPr>
          <w:rFonts w:hint="eastAsia" w:asciiTheme="majorEastAsia" w:hAnsiTheme="majorEastAsia" w:eastAsiaTheme="majorEastAsia" w:cstheme="majorEastAsia"/>
          <w:spacing w:val="-1"/>
          <w:sz w:val="28"/>
          <w:szCs w:val="28"/>
        </w:rPr>
        <w:t>学生提供实验</w:t>
      </w:r>
      <w:r>
        <w:rPr>
          <w:rFonts w:hint="eastAsia" w:asciiTheme="majorEastAsia" w:hAnsiTheme="majorEastAsia" w:eastAsiaTheme="majorEastAsia" w:cstheme="majorEastAsia"/>
          <w:spacing w:val="1"/>
          <w:sz w:val="28"/>
          <w:szCs w:val="28"/>
        </w:rPr>
        <w:t>教学、操作实训、技能考核、学科竞赛场所，同时向社会开放服务，承担</w:t>
      </w:r>
      <w:r>
        <w:rPr>
          <w:rFonts w:hint="eastAsia" w:asciiTheme="majorEastAsia" w:hAnsiTheme="majorEastAsia" w:eastAsiaTheme="majorEastAsia" w:cstheme="majorEastAsia"/>
          <w:spacing w:val="-1"/>
          <w:sz w:val="28"/>
          <w:szCs w:val="28"/>
        </w:rPr>
        <w:t>各级医疗机构各类培训、技能比赛、执业医师考试等</w:t>
      </w:r>
      <w:r>
        <w:rPr>
          <w:rFonts w:hint="eastAsia" w:asciiTheme="majorEastAsia" w:hAnsiTheme="majorEastAsia" w:eastAsiaTheme="majorEastAsia" w:cstheme="majorEastAsia"/>
          <w:spacing w:val="1"/>
          <w:sz w:val="28"/>
          <w:szCs w:val="28"/>
        </w:rPr>
        <w:t>。</w:t>
      </w:r>
    </w:p>
    <w:p>
      <w:pPr>
        <w:autoSpaceDE/>
        <w:autoSpaceDN/>
        <w:spacing w:line="360" w:lineRule="auto"/>
        <w:jc w:val="both"/>
        <w:rPr>
          <w:rFonts w:asciiTheme="majorEastAsia" w:hAnsiTheme="majorEastAsia" w:eastAsiaTheme="majorEastAsia" w:cstheme="majorEastAsia"/>
          <w:b/>
          <w:bCs/>
          <w:spacing w:val="1"/>
          <w:sz w:val="28"/>
          <w:szCs w:val="28"/>
        </w:rPr>
      </w:pPr>
      <w:r>
        <w:rPr>
          <w:rFonts w:hint="eastAsia" w:asciiTheme="majorEastAsia" w:hAnsiTheme="majorEastAsia" w:eastAsiaTheme="majorEastAsia" w:cstheme="majorEastAsia"/>
          <w:b/>
          <w:bCs/>
          <w:spacing w:val="1"/>
          <w:sz w:val="28"/>
          <w:szCs w:val="28"/>
        </w:rPr>
        <w:t>（2）科研训练平台</w:t>
      </w:r>
    </w:p>
    <w:p>
      <w:pPr>
        <w:autoSpaceDE/>
        <w:autoSpaceDN/>
        <w:spacing w:line="360" w:lineRule="auto"/>
        <w:ind w:firstLine="564" w:firstLineChars="200"/>
        <w:jc w:val="both"/>
        <w:rPr>
          <w:rFonts w:asciiTheme="majorEastAsia" w:hAnsiTheme="majorEastAsia" w:eastAsiaTheme="majorEastAsia" w:cstheme="majorEastAsia"/>
          <w:spacing w:val="1"/>
          <w:sz w:val="28"/>
          <w:szCs w:val="28"/>
        </w:rPr>
      </w:pPr>
      <w:r>
        <w:rPr>
          <w:rFonts w:hint="eastAsia" w:asciiTheme="majorEastAsia" w:hAnsiTheme="majorEastAsia" w:eastAsiaTheme="majorEastAsia" w:cstheme="majorEastAsia"/>
          <w:spacing w:val="1"/>
          <w:sz w:val="28"/>
          <w:szCs w:val="28"/>
        </w:rPr>
        <w:t>依托国家、省、市资源优势，形成服务研究生培养的多元化科研平台。湖州市护理研究所、校级人文基地、南丁格尔教育馆等平台，为研究生开展人文研究提供支撑。建立省内唯一的“教育部循证医学网上合作研究中心湖州师范学院分中心”，为循证能力培养和训练创造良好条件。依托与上海交大合作成立湖州老年医学与健康管理研究所、湖州健康颐养服务智库、与鑫远集团南太湖国际健康城合作兴办高端养老城，为老年研究方向提供重要平台；依托附属医院的浙江省重症医学区域专病中心和急诊医学区域专病中心为危重症护理、急救护理方向研究提供支撑。依托省精神科专科护士培养基地、WHO神经科学研究与培训中心等实践基地为精神卫生护理研究方向提供平台。依托浙江省媒介生物学与病原控制重点实验室为基础研究及主动健康应对提供平台。科研训练平台的建立拓展了护理实训范畴，同时培养学生科研思维、科研能力。</w:t>
      </w:r>
    </w:p>
    <w:p>
      <w:pPr>
        <w:pStyle w:val="2"/>
        <w:ind w:firstLine="280"/>
        <w:rPr>
          <w:rFonts w:asciiTheme="majorEastAsia" w:hAnsiTheme="majorEastAsia" w:eastAsiaTheme="majorEastAsia" w:cstheme="majorEastAsia"/>
          <w:spacing w:val="1"/>
        </w:rPr>
      </w:pPr>
      <w:r>
        <w:drawing>
          <wp:inline distT="0" distB="0" distL="114300" distR="114300">
            <wp:extent cx="5093335" cy="469900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93335" cy="4699000"/>
                    </a:xfrm>
                    <a:prstGeom prst="rect">
                      <a:avLst/>
                    </a:prstGeom>
                    <a:noFill/>
                    <a:ln>
                      <a:noFill/>
                    </a:ln>
                  </pic:spPr>
                </pic:pic>
              </a:graphicData>
            </a:graphic>
          </wp:inline>
        </w:drawing>
      </w:r>
    </w:p>
    <w:p>
      <w:pPr>
        <w:pStyle w:val="2"/>
        <w:ind w:firstLine="282"/>
        <w:jc w:val="center"/>
        <w:rPr>
          <w:rFonts w:asciiTheme="majorEastAsia" w:hAnsiTheme="majorEastAsia" w:eastAsiaTheme="majorEastAsia" w:cstheme="majorEastAsia"/>
          <w:b/>
          <w:bCs/>
          <w:spacing w:val="1"/>
          <w:lang w:eastAsia="zh-CN"/>
        </w:rPr>
      </w:pPr>
      <w:r>
        <w:rPr>
          <w:rFonts w:hint="eastAsia" w:asciiTheme="majorEastAsia" w:hAnsiTheme="majorEastAsia" w:eastAsiaTheme="majorEastAsia" w:cstheme="majorEastAsia"/>
          <w:b/>
          <w:bCs/>
          <w:spacing w:val="1"/>
          <w:lang w:eastAsia="zh-CN"/>
        </w:rPr>
        <w:t>图1 护理专业实验实训中心实验室设置图</w:t>
      </w:r>
    </w:p>
    <w:p>
      <w:pPr>
        <w:pStyle w:val="2"/>
        <w:ind w:firstLine="282"/>
        <w:jc w:val="center"/>
        <w:rPr>
          <w:rFonts w:asciiTheme="majorEastAsia" w:hAnsiTheme="majorEastAsia" w:eastAsiaTheme="majorEastAsia" w:cstheme="majorEastAsia"/>
          <w:b/>
          <w:bCs/>
          <w:spacing w:val="1"/>
          <w:lang w:eastAsia="zh-CN"/>
        </w:rPr>
      </w:pPr>
    </w:p>
    <w:p>
      <w:pPr>
        <w:pStyle w:val="2"/>
        <w:ind w:firstLine="282"/>
        <w:jc w:val="center"/>
        <w:rPr>
          <w:rFonts w:asciiTheme="majorEastAsia" w:hAnsiTheme="majorEastAsia" w:eastAsiaTheme="majorEastAsia" w:cstheme="majorEastAsia"/>
          <w:b/>
          <w:bCs/>
          <w:spacing w:val="1"/>
          <w:lang w:eastAsia="zh-CN"/>
        </w:rPr>
      </w:pPr>
    </w:p>
    <w:p>
      <w:pPr>
        <w:pStyle w:val="2"/>
        <w:ind w:firstLine="282"/>
        <w:jc w:val="center"/>
        <w:rPr>
          <w:rFonts w:asciiTheme="majorEastAsia" w:hAnsiTheme="majorEastAsia" w:eastAsiaTheme="majorEastAsia" w:cstheme="majorEastAsia"/>
          <w:b/>
          <w:bCs/>
          <w:spacing w:val="1"/>
          <w:lang w:eastAsia="zh-CN"/>
        </w:rPr>
      </w:pPr>
    </w:p>
    <w:p>
      <w:pPr>
        <w:pStyle w:val="2"/>
        <w:ind w:firstLine="281"/>
        <w:jc w:val="center"/>
        <w:rPr>
          <w:rFonts w:asciiTheme="majorEastAsia" w:hAnsiTheme="majorEastAsia" w:eastAsiaTheme="majorEastAsia" w:cstheme="majorEastAsia"/>
          <w:spacing w:val="1"/>
          <w:lang w:eastAsia="zh-CN"/>
        </w:rPr>
      </w:pPr>
    </w:p>
    <w:p>
      <w:pPr>
        <w:pStyle w:val="2"/>
        <w:ind w:firstLine="281"/>
        <w:jc w:val="center"/>
        <w:rPr>
          <w:rFonts w:asciiTheme="majorEastAsia" w:hAnsiTheme="majorEastAsia" w:eastAsiaTheme="majorEastAsia" w:cstheme="majorEastAsia"/>
          <w:spacing w:val="1"/>
          <w:lang w:eastAsia="zh-CN"/>
        </w:rPr>
      </w:pPr>
    </w:p>
    <w:p>
      <w:pPr>
        <w:pStyle w:val="2"/>
        <w:ind w:firstLine="281"/>
        <w:jc w:val="center"/>
        <w:rPr>
          <w:rFonts w:asciiTheme="majorEastAsia" w:hAnsiTheme="majorEastAsia" w:eastAsiaTheme="majorEastAsia" w:cstheme="majorEastAsia"/>
          <w:spacing w:val="1"/>
          <w:lang w:eastAsia="zh-CN"/>
        </w:rPr>
      </w:pPr>
    </w:p>
    <w:p>
      <w:pPr>
        <w:spacing w:line="360" w:lineRule="auto"/>
        <w:jc w:val="center"/>
        <w:rPr>
          <w:rFonts w:asciiTheme="majorEastAsia" w:hAnsiTheme="majorEastAsia" w:eastAsiaTheme="majorEastAsia" w:cstheme="majorEastAsia"/>
          <w:b/>
          <w:bCs/>
          <w:spacing w:val="1"/>
          <w:sz w:val="28"/>
          <w:szCs w:val="28"/>
        </w:rPr>
      </w:pPr>
      <w:r>
        <w:rPr>
          <w:rFonts w:hint="eastAsia" w:asciiTheme="majorEastAsia" w:hAnsiTheme="majorEastAsia" w:eastAsiaTheme="majorEastAsia" w:cstheme="majorEastAsia"/>
          <w:b/>
          <w:bCs/>
          <w:spacing w:val="1"/>
          <w:sz w:val="28"/>
          <w:szCs w:val="28"/>
        </w:rPr>
        <w:t>表3 护理技能实训中心</w:t>
      </w:r>
    </w:p>
    <w:tbl>
      <w:tblPr>
        <w:tblStyle w:val="12"/>
        <w:tblW w:w="84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89"/>
        <w:gridCol w:w="2550"/>
        <w:gridCol w:w="3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pStyle w:val="13"/>
              <w:autoSpaceDE/>
              <w:autoSpaceDN/>
              <w:spacing w:line="360" w:lineRule="auto"/>
              <w:jc w:val="center"/>
              <w:outlineLvl w:val="2"/>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pacing w:val="-3"/>
                <w:sz w:val="21"/>
                <w:szCs w:val="21"/>
              </w:rPr>
              <w:t>实验模块区名称</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autoSpaceDE/>
              <w:autoSpaceDN/>
              <w:spacing w:line="360" w:lineRule="auto"/>
              <w:jc w:val="center"/>
              <w:outlineLvl w:val="2"/>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pacing w:val="-4"/>
                <w:sz w:val="21"/>
                <w:szCs w:val="21"/>
              </w:rPr>
              <w:t>实验室名称</w:t>
            </w:r>
          </w:p>
        </w:tc>
        <w:tc>
          <w:tcPr>
            <w:tcW w:w="3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autoSpaceDE/>
              <w:autoSpaceDN/>
              <w:spacing w:line="360" w:lineRule="auto"/>
              <w:jc w:val="center"/>
              <w:outlineLvl w:val="2"/>
              <w:rPr>
                <w:rFonts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pacing w:val="-6"/>
                <w:sz w:val="21"/>
                <w:szCs w:val="21"/>
              </w:rPr>
              <w:t>功</w:t>
            </w:r>
            <w:r>
              <w:rPr>
                <w:rFonts w:hint="eastAsia" w:asciiTheme="majorEastAsia" w:hAnsiTheme="majorEastAsia" w:eastAsiaTheme="majorEastAsia" w:cstheme="majorEastAsia"/>
                <w:b w:val="0"/>
                <w:bCs w:val="0"/>
                <w:spacing w:val="8"/>
                <w:sz w:val="21"/>
                <w:szCs w:val="21"/>
              </w:rPr>
              <w:t xml:space="preserve">  </w:t>
            </w:r>
            <w:r>
              <w:rPr>
                <w:rFonts w:hint="eastAsia" w:asciiTheme="majorEastAsia" w:hAnsiTheme="majorEastAsia" w:eastAsiaTheme="majorEastAsia" w:cstheme="majorEastAsia"/>
                <w:b w:val="0"/>
                <w:bCs w:val="0"/>
                <w:spacing w:val="-6"/>
                <w:sz w:val="21"/>
                <w:szCs w:val="21"/>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outlineLvl w:val="2"/>
              <w:rPr>
                <w:rFonts w:asciiTheme="majorEastAsia" w:hAnsiTheme="majorEastAsia" w:eastAsiaTheme="majorEastAsia" w:cstheme="majorEastAsia"/>
              </w:rPr>
            </w:pPr>
            <w:r>
              <w:rPr>
                <w:rFonts w:hint="eastAsia" w:asciiTheme="majorEastAsia" w:hAnsiTheme="majorEastAsia" w:eastAsiaTheme="majorEastAsia" w:cstheme="majorEastAsia"/>
                <w:spacing w:val="-1"/>
              </w:rPr>
              <w:t>基础护理技能</w:t>
            </w:r>
          </w:p>
          <w:p>
            <w:pPr>
              <w:autoSpaceDE/>
              <w:autoSpaceDN/>
              <w:spacing w:line="360" w:lineRule="auto"/>
              <w:jc w:val="center"/>
              <w:outlineLvl w:val="2"/>
              <w:rPr>
                <w:rFonts w:asciiTheme="majorEastAsia" w:hAnsiTheme="majorEastAsia" w:eastAsiaTheme="majorEastAsia" w:cstheme="majorEastAsia"/>
              </w:rPr>
            </w:pPr>
            <w:r>
              <w:rPr>
                <w:rFonts w:hint="eastAsia" w:asciiTheme="majorEastAsia" w:hAnsiTheme="majorEastAsia" w:eastAsiaTheme="majorEastAsia" w:cstheme="majorEastAsia"/>
                <w:spacing w:val="-4"/>
              </w:rPr>
              <w:t>训练模块区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outlineLvl w:val="2"/>
              <w:rPr>
                <w:rFonts w:asciiTheme="majorEastAsia" w:hAnsiTheme="majorEastAsia" w:eastAsiaTheme="majorEastAsia" w:cstheme="majorEastAsia"/>
              </w:rPr>
            </w:pPr>
            <w:r>
              <w:rPr>
                <w:rFonts w:hint="eastAsia" w:asciiTheme="majorEastAsia" w:hAnsiTheme="majorEastAsia" w:eastAsiaTheme="majorEastAsia" w:cstheme="majorEastAsia"/>
                <w:spacing w:val="-2"/>
              </w:rPr>
              <w:t>护理技能实训室（1-4）</w:t>
            </w:r>
          </w:p>
        </w:tc>
        <w:tc>
          <w:tcPr>
            <w:tcW w:w="3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p>
            <w:pPr>
              <w:autoSpaceDE/>
              <w:autoSpaceDN/>
              <w:spacing w:line="360" w:lineRule="auto"/>
              <w:ind w:left="210" w:hanging="210" w:hangingChars="100"/>
              <w:jc w:val="both"/>
              <w:rPr>
                <w:rFonts w:asciiTheme="majorEastAsia" w:hAnsiTheme="majorEastAsia" w:eastAsiaTheme="majorEastAsia" w:cstheme="majorEastAsia"/>
              </w:rPr>
            </w:pPr>
            <w:r>
              <w:rPr>
                <w:rFonts w:hint="eastAsia" w:asciiTheme="majorEastAsia" w:hAnsiTheme="majorEastAsia" w:eastAsiaTheme="majorEastAsia" w:cstheme="majorEastAsia"/>
              </w:rPr>
              <w:t>.教学实践：基础护理技能训练、教学</w:t>
            </w:r>
          </w:p>
          <w:p>
            <w:pPr>
              <w:autoSpaceDE/>
              <w:autoSpaceDN/>
              <w:spacing w:line="360" w:lineRule="auto"/>
              <w:ind w:left="210" w:hanging="210" w:hangingChars="100"/>
              <w:jc w:val="both"/>
              <w:rPr>
                <w:rFonts w:asciiTheme="majorEastAsia" w:hAnsiTheme="majorEastAsia" w:eastAsiaTheme="majorEastAsia" w:cstheme="majorEastAsia"/>
              </w:rPr>
            </w:pPr>
            <w:r>
              <w:rPr>
                <w:rFonts w:hint="eastAsia" w:asciiTheme="majorEastAsia" w:hAnsiTheme="majorEastAsia" w:eastAsiaTheme="majorEastAsia" w:cstheme="majorEastAsia"/>
              </w:rPr>
              <w:t>观摩</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.学科竞赛训练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rPr>
              <w:t>.服务地方：湖州市新入职护士岗前培训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护理实验示教室（1-2）</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护理仿真虚拟实训室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5"/>
              </w:rPr>
              <w:t>准备室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8"/>
              </w:rPr>
              <w:t>治疗室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7"/>
              </w:rPr>
              <w:t>处置室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专科护理技能</w:t>
            </w:r>
            <w:r>
              <w:rPr>
                <w:rFonts w:hint="eastAsia" w:asciiTheme="majorEastAsia" w:hAnsiTheme="majorEastAsia" w:eastAsiaTheme="majorEastAsia" w:cstheme="majorEastAsia"/>
                <w:spacing w:val="-4"/>
              </w:rPr>
              <w:t>训练模块区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5"/>
              </w:rPr>
              <w:t>内科护理学技能实训室</w:t>
            </w:r>
          </w:p>
        </w:tc>
        <w:tc>
          <w:tcPr>
            <w:tcW w:w="3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6"/>
              </w:rPr>
              <w:t>.教学实践：</w:t>
            </w:r>
            <w:r>
              <w:rPr>
                <w:rFonts w:hint="eastAsia" w:asciiTheme="majorEastAsia" w:hAnsiTheme="majorEastAsia" w:eastAsiaTheme="majorEastAsia" w:cstheme="majorEastAsia"/>
                <w:spacing w:val="-44"/>
              </w:rPr>
              <w:t xml:space="preserve"> </w:t>
            </w:r>
            <w:r>
              <w:rPr>
                <w:rFonts w:hint="eastAsia" w:asciiTheme="majorEastAsia" w:hAnsiTheme="majorEastAsia" w:eastAsiaTheme="majorEastAsia" w:cstheme="majorEastAsia"/>
                <w:spacing w:val="-6"/>
              </w:rPr>
              <w:t>内、外、妇、儿等专科技能</w:t>
            </w:r>
            <w:r>
              <w:rPr>
                <w:rFonts w:hint="eastAsia" w:asciiTheme="majorEastAsia" w:hAnsiTheme="majorEastAsia" w:eastAsiaTheme="majorEastAsia" w:cstheme="majorEastAsia"/>
                <w:spacing w:val="-8"/>
              </w:rPr>
              <w:t>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22"/>
              </w:rPr>
              <w:t>.学科竞赛训练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9"/>
              </w:rPr>
              <w:t>.服务社会：执业医师技能培训、考核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外科护理学技能实训室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儿科技能实训室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妇儿仿真虚拟实训室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妇产科技能实训室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心理学实验室</w:t>
            </w:r>
          </w:p>
        </w:tc>
        <w:tc>
          <w:tcPr>
            <w:tcW w:w="3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3"/>
              </w:rPr>
              <w:t>.教学实践：心理技能训练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0"/>
              </w:rPr>
              <w:t>.服务社会：心理咨询、心理治疗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循证护理实验室</w:t>
            </w:r>
          </w:p>
        </w:tc>
        <w:tc>
          <w:tcPr>
            <w:tcW w:w="3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2"/>
              </w:rPr>
              <w:t>.教学实践：循证护理、护理科研、文献</w:t>
            </w:r>
            <w:r>
              <w:rPr>
                <w:rFonts w:hint="eastAsia" w:asciiTheme="majorEastAsia" w:hAnsiTheme="majorEastAsia" w:eastAsiaTheme="majorEastAsia" w:cstheme="majorEastAsia"/>
                <w:spacing w:val="-4"/>
              </w:rPr>
              <w:t>检索</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2"/>
              </w:rPr>
              <w:t>.服务地方：附属医院、社会机构循证数</w:t>
            </w:r>
            <w:r>
              <w:rPr>
                <w:rFonts w:hint="eastAsia" w:asciiTheme="majorEastAsia" w:hAnsiTheme="majorEastAsia" w:eastAsiaTheme="majorEastAsia" w:cstheme="majorEastAsia"/>
                <w:spacing w:val="-4"/>
              </w:rPr>
              <w:t>据库检索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4"/>
              </w:rPr>
              <w:t>生命支持仿真模拟训练模块区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高仿真综合模拟实训室</w:t>
            </w:r>
          </w:p>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1"/>
              </w:rPr>
              <w:t>（1-4）</w:t>
            </w:r>
          </w:p>
        </w:tc>
        <w:tc>
          <w:tcPr>
            <w:tcW w:w="3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9"/>
              </w:rPr>
              <w:t>.教学实践：急、危重症技能实践训练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22"/>
              </w:rPr>
              <w:t>.学科竞赛训练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7"/>
              </w:rPr>
              <w:t>.服务地方：</w:t>
            </w:r>
            <w:r>
              <w:rPr>
                <w:rFonts w:hint="eastAsia" w:asciiTheme="majorEastAsia" w:hAnsiTheme="majorEastAsia" w:eastAsiaTheme="majorEastAsia" w:cstheme="majorEastAsia"/>
                <w:spacing w:val="-63"/>
              </w:rPr>
              <w:t xml:space="preserve"> </w:t>
            </w:r>
            <w:r>
              <w:rPr>
                <w:rFonts w:hint="eastAsia" w:asciiTheme="majorEastAsia" w:hAnsiTheme="majorEastAsia" w:eastAsiaTheme="majorEastAsia" w:cstheme="majorEastAsia"/>
                <w:spacing w:val="-17"/>
              </w:rPr>
              <w:t>民众急救科普知识宣传场地、</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pacing w:val="-5"/>
              </w:rPr>
              <w:t>湖州市红十字会培训基地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3"/>
              </w:rPr>
              <w:t>临床思维训练实训室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4"/>
              </w:rPr>
              <w:t>急救综合技能实训室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湖州市红十字会应急</w:t>
            </w:r>
            <w:r>
              <w:rPr>
                <w:rFonts w:hint="eastAsia" w:asciiTheme="majorEastAsia" w:hAnsiTheme="majorEastAsia" w:eastAsiaTheme="majorEastAsia" w:cstheme="majorEastAsia"/>
                <w:spacing w:val="-9"/>
              </w:rPr>
              <w:t>救护</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289" w:type="dxa"/>
            <w:vMerge w:val="restart"/>
            <w:tcBorders>
              <w:top w:val="single" w:color="000000" w:sz="4" w:space="0"/>
              <w:left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老年健康管理与康</w:t>
            </w:r>
            <w:r>
              <w:rPr>
                <w:rFonts w:hint="eastAsia" w:asciiTheme="majorEastAsia" w:hAnsiTheme="majorEastAsia" w:eastAsiaTheme="majorEastAsia" w:cstheme="majorEastAsia"/>
                <w:spacing w:val="-3"/>
              </w:rPr>
              <w:t>复实验室模块区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1"/>
              </w:rPr>
              <w:t>康复护理学实训室</w:t>
            </w:r>
          </w:p>
        </w:tc>
        <w:tc>
          <w:tcPr>
            <w:tcW w:w="3565" w:type="dxa"/>
            <w:vMerge w:val="restart"/>
            <w:tcBorders>
              <w:top w:val="single" w:color="000000" w:sz="4" w:space="0"/>
              <w:left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1"/>
              </w:rPr>
              <w:t>.</w:t>
            </w:r>
            <w:r>
              <w:rPr>
                <w:rFonts w:hint="eastAsia" w:asciiTheme="majorEastAsia" w:hAnsiTheme="majorEastAsia" w:eastAsiaTheme="majorEastAsia" w:cstheme="majorEastAsia"/>
                <w:spacing w:val="-117"/>
              </w:rPr>
              <w:t xml:space="preserve"> </w:t>
            </w:r>
            <w:r>
              <w:rPr>
                <w:rFonts w:hint="eastAsia" w:asciiTheme="majorEastAsia" w:hAnsiTheme="majorEastAsia" w:eastAsiaTheme="majorEastAsia" w:cstheme="majorEastAsia"/>
                <w:spacing w:val="-11"/>
              </w:rPr>
              <w:t>教学实践：老年健康维护技能实践训练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21"/>
              </w:rPr>
              <w:t>.</w:t>
            </w:r>
            <w:r>
              <w:rPr>
                <w:rFonts w:hint="eastAsia" w:asciiTheme="majorEastAsia" w:hAnsiTheme="majorEastAsia" w:eastAsiaTheme="majorEastAsia" w:cstheme="majorEastAsia"/>
                <w:spacing w:val="-107"/>
              </w:rPr>
              <w:t xml:space="preserve"> </w:t>
            </w:r>
            <w:r>
              <w:rPr>
                <w:rFonts w:hint="eastAsia" w:asciiTheme="majorEastAsia" w:hAnsiTheme="majorEastAsia" w:eastAsiaTheme="majorEastAsia" w:cstheme="majorEastAsia"/>
                <w:spacing w:val="-21"/>
              </w:rPr>
              <w:t>服务地方：社区老年健康管理服务中心、</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pacing w:val="-5"/>
              </w:rPr>
              <w:t>社区老年康复指导中心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289" w:type="dxa"/>
            <w:vMerge w:val="continue"/>
            <w:tcBorders>
              <w:left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spacing w:val="-2"/>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spacing w:val="-1"/>
              </w:rPr>
            </w:pPr>
            <w:r>
              <w:rPr>
                <w:rFonts w:hint="eastAsia" w:asciiTheme="majorEastAsia" w:hAnsiTheme="majorEastAsia" w:eastAsiaTheme="majorEastAsia" w:cstheme="majorEastAsia"/>
                <w:spacing w:val="-1"/>
              </w:rPr>
              <w:t>健康照护实训室</w:t>
            </w:r>
          </w:p>
          <w:p>
            <w:pPr>
              <w:tabs>
                <w:tab w:val="left" w:pos="630"/>
              </w:tabs>
              <w:autoSpaceDE/>
              <w:autoSpaceDN/>
              <w:spacing w:line="360" w:lineRule="auto"/>
              <w:jc w:val="center"/>
              <w:rPr>
                <w:rFonts w:asciiTheme="majorEastAsia" w:hAnsiTheme="majorEastAsia" w:eastAsiaTheme="majorEastAsia" w:cstheme="majorEastAsia"/>
                <w:spacing w:val="-1"/>
              </w:rPr>
            </w:pPr>
            <w:r>
              <w:rPr>
                <w:rFonts w:hint="eastAsia" w:asciiTheme="majorEastAsia" w:hAnsiTheme="majorEastAsia" w:eastAsiaTheme="majorEastAsia" w:cstheme="majorEastAsia"/>
                <w:spacing w:val="-1"/>
              </w:rPr>
              <w:t>老年护理学实训室</w:t>
            </w:r>
          </w:p>
        </w:tc>
        <w:tc>
          <w:tcPr>
            <w:tcW w:w="3565" w:type="dxa"/>
            <w:vMerge w:val="continue"/>
            <w:tcBorders>
              <w:left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spacing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289" w:type="dxa"/>
            <w:vMerge w:val="continue"/>
            <w:tcBorders>
              <w:left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老年医学与健康管理</w:t>
            </w:r>
            <w:r>
              <w:rPr>
                <w:rFonts w:hint="eastAsia" w:asciiTheme="majorEastAsia" w:hAnsiTheme="majorEastAsia" w:eastAsiaTheme="majorEastAsia" w:cstheme="majorEastAsia"/>
                <w:spacing w:val="-1"/>
              </w:rPr>
              <w:t>研究所</w:t>
            </w:r>
          </w:p>
        </w:tc>
        <w:tc>
          <w:tcPr>
            <w:tcW w:w="3565" w:type="dxa"/>
            <w:vMerge w:val="continue"/>
            <w:tcBorders>
              <w:left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289" w:type="dxa"/>
            <w:vMerge w:val="continue"/>
            <w:tcBorders>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1020"/>
              </w:tabs>
              <w:autoSpaceDE/>
              <w:autoSpaceDN/>
              <w:spacing w:line="360" w:lineRule="auto"/>
              <w:jc w:val="center"/>
              <w:rPr>
                <w:rFonts w:asciiTheme="majorEastAsia" w:hAnsiTheme="majorEastAsia" w:eastAsiaTheme="majorEastAsia" w:cstheme="majorEastAsia"/>
                <w:spacing w:val="-2"/>
              </w:rPr>
            </w:pPr>
            <w:r>
              <w:rPr>
                <w:rFonts w:hint="eastAsia" w:asciiTheme="majorEastAsia" w:hAnsiTheme="majorEastAsia" w:eastAsiaTheme="majorEastAsia" w:cstheme="majorEastAsia"/>
                <w:spacing w:val="-2"/>
              </w:rPr>
              <w:t>认知功能评估与训练室</w:t>
            </w:r>
          </w:p>
        </w:tc>
        <w:tc>
          <w:tcPr>
            <w:tcW w:w="3565" w:type="dxa"/>
            <w:vMerge w:val="continue"/>
            <w:tcBorders>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人文护理实验室</w:t>
            </w:r>
            <w:r>
              <w:rPr>
                <w:rFonts w:hint="eastAsia" w:asciiTheme="majorEastAsia" w:hAnsiTheme="majorEastAsia" w:eastAsiaTheme="majorEastAsia" w:cstheme="majorEastAsia"/>
                <w:spacing w:val="-3"/>
              </w:rPr>
              <w:t>模块区</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5"/>
              </w:rPr>
              <w:t>中国南丁格尔教育馆</w:t>
            </w:r>
          </w:p>
        </w:tc>
        <w:tc>
          <w:tcPr>
            <w:tcW w:w="35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0"/>
              </w:rPr>
              <w:t>.教学实践：人文素养技能实践训练</w:t>
            </w:r>
          </w:p>
          <w:p>
            <w:pPr>
              <w:autoSpaceDE/>
              <w:autoSpaceDN/>
              <w:spacing w:line="360" w:lineRule="auto"/>
              <w:jc w:val="both"/>
              <w:rPr>
                <w:rFonts w:asciiTheme="majorEastAsia" w:hAnsiTheme="majorEastAsia" w:eastAsiaTheme="majorEastAsia" w:cstheme="majorEastAsia"/>
              </w:rPr>
            </w:pPr>
            <w:r>
              <w:rPr>
                <w:rFonts w:hint="eastAsia" w:asciiTheme="majorEastAsia" w:hAnsiTheme="majorEastAsia" w:eastAsiaTheme="majorEastAsia" w:cstheme="majorEastAsia"/>
                <w:spacing w:val="-11"/>
              </w:rPr>
              <w:t>.服务师生：新生始业教育基地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spacing w:val="-2"/>
              </w:rPr>
              <w:t>人文护理研究中心</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autoSpaceDN/>
              <w:spacing w:line="360" w:lineRule="auto"/>
              <w:jc w:val="center"/>
              <w:rPr>
                <w:rFonts w:asciiTheme="majorEastAsia" w:hAnsiTheme="majorEastAsia" w:eastAsiaTheme="majorEastAsia" w:cstheme="majorEastAsia"/>
              </w:rPr>
            </w:pPr>
          </w:p>
        </w:tc>
      </w:tr>
    </w:tbl>
    <w:p>
      <w:pPr>
        <w:autoSpaceDE/>
        <w:autoSpaceDN/>
        <w:spacing w:line="360" w:lineRule="auto"/>
        <w:jc w:val="both"/>
        <w:rPr>
          <w:rFonts w:asciiTheme="majorEastAsia" w:hAnsiTheme="majorEastAsia" w:eastAsiaTheme="majorEastAsia" w:cstheme="majorEastAsia"/>
          <w:color w:val="auto"/>
          <w:spacing w:val="24"/>
          <w:sz w:val="28"/>
          <w:szCs w:val="28"/>
        </w:rPr>
      </w:pPr>
      <w:r>
        <w:rPr>
          <w:rFonts w:hint="eastAsia" w:asciiTheme="majorEastAsia" w:hAnsiTheme="majorEastAsia" w:eastAsiaTheme="majorEastAsia" w:cstheme="majorEastAsia"/>
          <w:b/>
          <w:bCs/>
          <w:color w:val="auto"/>
          <w:spacing w:val="24"/>
          <w:sz w:val="28"/>
          <w:szCs w:val="28"/>
        </w:rPr>
        <w:t>（3）案例库教学资源丰富</w:t>
      </w:r>
      <w:r>
        <w:rPr>
          <w:rFonts w:hint="eastAsia" w:asciiTheme="majorEastAsia" w:hAnsiTheme="majorEastAsia" w:eastAsiaTheme="majorEastAsia" w:cstheme="majorEastAsia"/>
          <w:color w:val="auto"/>
          <w:spacing w:val="24"/>
          <w:sz w:val="28"/>
          <w:szCs w:val="28"/>
        </w:rPr>
        <w:t xml:space="preserve"> </w:t>
      </w:r>
    </w:p>
    <w:p>
      <w:pPr>
        <w:autoSpaceDE/>
        <w:autoSpaceDN/>
        <w:spacing w:line="360" w:lineRule="auto"/>
        <w:ind w:firstLine="656"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auto"/>
          <w:spacing w:val="24"/>
          <w:sz w:val="28"/>
          <w:szCs w:val="28"/>
        </w:rPr>
        <w:t>学院积极推动案例库建设，本年度“成人传染性单核细胞增多症并发脾破裂的护理案例”获评浙江省研究生优秀教学案例，</w:t>
      </w:r>
      <w:r>
        <w:rPr>
          <w:rFonts w:hint="eastAsia" w:asciiTheme="majorEastAsia" w:hAnsiTheme="majorEastAsia" w:eastAsiaTheme="majorEastAsia" w:cstheme="majorEastAsia"/>
          <w:color w:val="auto"/>
          <w:spacing w:val="17"/>
          <w:sz w:val="28"/>
          <w:szCs w:val="28"/>
        </w:rPr>
        <w:t>立项校级护理类案例项目1项，即1型糖尿病患者遭遇车祸导致多发性损伤的护理。建有</w:t>
      </w:r>
      <w:r>
        <w:rPr>
          <w:rFonts w:hint="eastAsia" w:asciiTheme="majorEastAsia" w:hAnsiTheme="majorEastAsia" w:eastAsiaTheme="majorEastAsia" w:cstheme="majorEastAsia"/>
          <w:color w:val="auto"/>
          <w:spacing w:val="16"/>
          <w:sz w:val="28"/>
          <w:szCs w:val="28"/>
        </w:rPr>
        <w:t>临床</w:t>
      </w:r>
      <w:r>
        <w:rPr>
          <w:rFonts w:hint="eastAsia" w:asciiTheme="majorEastAsia" w:hAnsiTheme="majorEastAsia" w:eastAsiaTheme="majorEastAsia" w:cstheme="majorEastAsia"/>
          <w:color w:val="auto"/>
          <w:spacing w:val="38"/>
          <w:sz w:val="28"/>
          <w:szCs w:val="28"/>
        </w:rPr>
        <w:t>护理情景案例38个，包含内科、外科、急危重症、老年等各类疾病案例，能满足护理硕士专业学位研究生教学需求。另外，教师课程教学过程中注重引导学生收集临床真实案例，并进行案例撰写与分析，培养学生临床思维能力。</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3"/>
          <w:sz w:val="28"/>
          <w:szCs w:val="28"/>
        </w:rPr>
        <w:t>5</w:t>
      </w:r>
      <w:r>
        <w:rPr>
          <w:rFonts w:hint="eastAsia" w:asciiTheme="majorEastAsia" w:hAnsiTheme="majorEastAsia" w:eastAsiaTheme="majorEastAsia" w:cstheme="majorEastAsia"/>
          <w:spacing w:val="54"/>
          <w:sz w:val="28"/>
          <w:szCs w:val="28"/>
        </w:rPr>
        <w:t xml:space="preserve"> </w:t>
      </w:r>
      <w:r>
        <w:rPr>
          <w:rFonts w:hint="eastAsia" w:asciiTheme="majorEastAsia" w:hAnsiTheme="majorEastAsia" w:eastAsiaTheme="majorEastAsia" w:cstheme="majorEastAsia"/>
          <w:b/>
          <w:bCs/>
          <w:spacing w:val="13"/>
          <w:sz w:val="28"/>
          <w:szCs w:val="28"/>
        </w:rPr>
        <w:t>奖助体系</w:t>
      </w:r>
    </w:p>
    <w:p>
      <w:pPr>
        <w:autoSpaceDE/>
        <w:autoSpaceDN/>
        <w:spacing w:line="360" w:lineRule="auto"/>
        <w:ind w:firstLine="560" w:firstLineChars="200"/>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学校已建立起“奖、贷、助、补、勤”为一体的多元化研究生资助体系，先后制定了《湖州师范学院研究生奖学金评定办法（试行）》等 6个资助管理文件，设立了包括研究生国家奖学金、新生学业奖学金、研究生学业奖学金、国家助学金等资助项目。新生均享受研究生新生学业奖学金8000元；10%的高年级研究生享受一等学业奖学金12000元，30%的高年级研究生享受二等学业奖学金10000元，60%的高年级研究生享受三等学业奖学金8000元；每人每生每月均可享受国家助学金600元，每年度发放10个月，实现研究生国家助学金100%覆盖；并设立研究生助研经费，生均4000元。2021年度，护理硕士专业学位研究生获国家奖学金5人次，共计10万元；学业奖学金187人次，共计160.8万元；国家助学金265人次，共计113.64万元（见表4）</w:t>
      </w:r>
      <w:r>
        <w:rPr>
          <w:rFonts w:hint="eastAsia" w:asciiTheme="majorEastAsia" w:hAnsiTheme="majorEastAsia" w:eastAsiaTheme="majorEastAsia" w:cstheme="majorEastAsia"/>
          <w:sz w:val="28"/>
          <w:szCs w:val="28"/>
          <w:lang w:eastAsia="zh-CN"/>
        </w:rPr>
        <w:t>。</w:t>
      </w:r>
    </w:p>
    <w:p>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4"/>
          <w:sz w:val="28"/>
          <w:szCs w:val="28"/>
        </w:rPr>
        <w:t>表4</w:t>
      </w:r>
      <w:r>
        <w:rPr>
          <w:rFonts w:hint="eastAsia" w:asciiTheme="majorEastAsia" w:hAnsiTheme="majorEastAsia" w:eastAsiaTheme="majorEastAsia" w:cstheme="majorEastAsia"/>
          <w:spacing w:val="5"/>
          <w:sz w:val="28"/>
          <w:szCs w:val="28"/>
        </w:rPr>
        <w:t xml:space="preserve"> </w:t>
      </w:r>
      <w:r>
        <w:rPr>
          <w:rFonts w:hint="eastAsia" w:asciiTheme="majorEastAsia" w:hAnsiTheme="majorEastAsia" w:eastAsiaTheme="majorEastAsia" w:cstheme="majorEastAsia"/>
          <w:b/>
          <w:bCs/>
          <w:spacing w:val="-4"/>
          <w:sz w:val="28"/>
          <w:szCs w:val="28"/>
        </w:rPr>
        <w:t>奖助学金情况</w:t>
      </w:r>
    </w:p>
    <w:tbl>
      <w:tblPr>
        <w:tblStyle w:val="12"/>
        <w:tblW w:w="811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3"/>
        <w:gridCol w:w="1386"/>
        <w:gridCol w:w="1140"/>
        <w:gridCol w:w="1681"/>
        <w:gridCol w:w="1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03" w:type="dxa"/>
            <w:vAlign w:val="center"/>
          </w:tcPr>
          <w:p>
            <w:pPr>
              <w:spacing w:line="24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4"/>
              </w:rPr>
              <w:t>项目名称</w:t>
            </w:r>
          </w:p>
        </w:tc>
        <w:tc>
          <w:tcPr>
            <w:tcW w:w="1386" w:type="dxa"/>
            <w:vAlign w:val="center"/>
          </w:tcPr>
          <w:p>
            <w:pPr>
              <w:spacing w:line="24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1"/>
              </w:rPr>
              <w:t>资助类型</w:t>
            </w:r>
          </w:p>
        </w:tc>
        <w:tc>
          <w:tcPr>
            <w:tcW w:w="1140" w:type="dxa"/>
            <w:vAlign w:val="center"/>
          </w:tcPr>
          <w:p>
            <w:pPr>
              <w:spacing w:line="24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5"/>
              </w:rPr>
              <w:t>年度</w:t>
            </w:r>
          </w:p>
        </w:tc>
        <w:tc>
          <w:tcPr>
            <w:tcW w:w="1681" w:type="dxa"/>
            <w:vAlign w:val="center"/>
          </w:tcPr>
          <w:p>
            <w:pPr>
              <w:spacing w:line="240" w:lineRule="auto"/>
              <w:jc w:val="center"/>
              <w:rPr>
                <w:rFonts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spacing w:val="3"/>
              </w:rPr>
              <w:t>总金额(万元)</w:t>
            </w:r>
          </w:p>
        </w:tc>
        <w:tc>
          <w:tcPr>
            <w:tcW w:w="1507" w:type="dxa"/>
            <w:vAlign w:val="center"/>
          </w:tcPr>
          <w:p>
            <w:pPr>
              <w:spacing w:line="240" w:lineRule="auto"/>
              <w:jc w:val="center"/>
            </w:pPr>
            <w:r>
              <w:rPr>
                <w:rFonts w:hint="eastAsia" w:asciiTheme="majorEastAsia" w:hAnsiTheme="majorEastAsia" w:eastAsiaTheme="majorEastAsia" w:cstheme="majorEastAsia"/>
                <w:b w:val="0"/>
                <w:bCs w:val="0"/>
                <w:spacing w:val="-5"/>
              </w:rPr>
              <w:t>资助学生数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03"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研究生国家奖学金</w:t>
            </w:r>
          </w:p>
        </w:tc>
        <w:tc>
          <w:tcPr>
            <w:tcW w:w="1386"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奖学金</w:t>
            </w:r>
          </w:p>
        </w:tc>
        <w:tc>
          <w:tcPr>
            <w:tcW w:w="1140"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2021</w:t>
            </w:r>
          </w:p>
        </w:tc>
        <w:tc>
          <w:tcPr>
            <w:tcW w:w="1681"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10</w:t>
            </w:r>
          </w:p>
        </w:tc>
        <w:tc>
          <w:tcPr>
            <w:tcW w:w="1507"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03"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研究生学业奖学金</w:t>
            </w:r>
          </w:p>
        </w:tc>
        <w:tc>
          <w:tcPr>
            <w:tcW w:w="1386"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奖学金</w:t>
            </w:r>
          </w:p>
        </w:tc>
        <w:tc>
          <w:tcPr>
            <w:tcW w:w="1140"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2021</w:t>
            </w:r>
          </w:p>
        </w:tc>
        <w:tc>
          <w:tcPr>
            <w:tcW w:w="1681"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160.8</w:t>
            </w:r>
          </w:p>
        </w:tc>
        <w:tc>
          <w:tcPr>
            <w:tcW w:w="1507"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03" w:type="dxa"/>
            <w:vAlign w:val="center"/>
          </w:tcPr>
          <w:p>
            <w:pPr>
              <w:spacing w:line="240" w:lineRule="auto"/>
              <w:jc w:val="center"/>
              <w:textAlignment w:val="center"/>
              <w:rPr>
                <w:rFonts w:ascii="宋体" w:hAnsi="宋体" w:eastAsia="宋体" w:cs="宋体"/>
                <w:spacing w:val="-1"/>
              </w:rPr>
            </w:pPr>
            <w:r>
              <w:rPr>
                <w:rFonts w:hint="eastAsia" w:ascii="宋体" w:hAnsi="宋体" w:eastAsia="宋体" w:cs="宋体"/>
                <w:lang w:bidi="ar"/>
              </w:rPr>
              <w:t>国家助学金</w:t>
            </w:r>
          </w:p>
        </w:tc>
        <w:tc>
          <w:tcPr>
            <w:tcW w:w="1386" w:type="dxa"/>
            <w:vAlign w:val="center"/>
          </w:tcPr>
          <w:p>
            <w:pPr>
              <w:spacing w:line="240" w:lineRule="auto"/>
              <w:jc w:val="center"/>
              <w:textAlignment w:val="center"/>
              <w:rPr>
                <w:rFonts w:asciiTheme="majorEastAsia" w:hAnsiTheme="majorEastAsia" w:eastAsiaTheme="majorEastAsia" w:cstheme="majorEastAsia"/>
                <w:spacing w:val="-2"/>
                <w:highlight w:val="yellow"/>
              </w:rPr>
            </w:pPr>
            <w:r>
              <w:rPr>
                <w:rFonts w:hint="eastAsia" w:ascii="宋体" w:hAnsi="宋体" w:eastAsia="宋体" w:cs="宋体"/>
                <w:lang w:bidi="ar"/>
              </w:rPr>
              <w:t>助学金</w:t>
            </w:r>
          </w:p>
        </w:tc>
        <w:tc>
          <w:tcPr>
            <w:tcW w:w="1140" w:type="dxa"/>
            <w:vAlign w:val="center"/>
          </w:tcPr>
          <w:p>
            <w:pPr>
              <w:spacing w:line="240" w:lineRule="auto"/>
              <w:jc w:val="center"/>
              <w:textAlignment w:val="center"/>
              <w:rPr>
                <w:rFonts w:asciiTheme="majorEastAsia" w:hAnsiTheme="majorEastAsia" w:eastAsiaTheme="majorEastAsia" w:cstheme="majorEastAsia"/>
                <w:spacing w:val="-2"/>
                <w:highlight w:val="yellow"/>
              </w:rPr>
            </w:pPr>
            <w:r>
              <w:rPr>
                <w:rFonts w:hint="eastAsia" w:ascii="宋体" w:hAnsi="宋体" w:eastAsia="宋体" w:cs="宋体"/>
                <w:lang w:bidi="ar"/>
              </w:rPr>
              <w:t>2021</w:t>
            </w:r>
          </w:p>
        </w:tc>
        <w:tc>
          <w:tcPr>
            <w:tcW w:w="1681"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113.64</w:t>
            </w:r>
          </w:p>
        </w:tc>
        <w:tc>
          <w:tcPr>
            <w:tcW w:w="1507" w:type="dxa"/>
            <w:vAlign w:val="center"/>
          </w:tcPr>
          <w:p>
            <w:pPr>
              <w:spacing w:line="240" w:lineRule="auto"/>
              <w:jc w:val="center"/>
              <w:textAlignment w:val="center"/>
              <w:rPr>
                <w:rFonts w:asciiTheme="majorEastAsia" w:hAnsiTheme="majorEastAsia" w:eastAsiaTheme="majorEastAsia" w:cstheme="majorEastAsia"/>
                <w:highlight w:val="yellow"/>
              </w:rPr>
            </w:pPr>
            <w:r>
              <w:rPr>
                <w:rFonts w:hint="eastAsia" w:ascii="宋体" w:hAnsi="宋体" w:eastAsia="宋体" w:cs="宋体"/>
                <w:lang w:bidi="ar"/>
              </w:rPr>
              <w:t>265</w:t>
            </w:r>
          </w:p>
        </w:tc>
      </w:tr>
    </w:tbl>
    <w:p>
      <w:pPr>
        <w:spacing w:line="360" w:lineRule="auto"/>
        <w:jc w:val="both"/>
        <w:rPr>
          <w:rFonts w:asciiTheme="majorEastAsia" w:hAnsiTheme="majorEastAsia" w:eastAsiaTheme="majorEastAsia" w:cstheme="majorEastAsia"/>
          <w:sz w:val="28"/>
          <w:szCs w:val="28"/>
        </w:rPr>
      </w:pP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35"/>
          <w:sz w:val="28"/>
          <w:szCs w:val="28"/>
        </w:rPr>
        <w:t>（三）人才培养</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5"/>
          <w:sz w:val="28"/>
          <w:szCs w:val="28"/>
        </w:rPr>
        <w:t>1</w:t>
      </w:r>
      <w:r>
        <w:rPr>
          <w:rFonts w:hint="eastAsia" w:asciiTheme="majorEastAsia" w:hAnsiTheme="majorEastAsia" w:eastAsiaTheme="majorEastAsia" w:cstheme="majorEastAsia"/>
          <w:spacing w:val="61"/>
          <w:sz w:val="28"/>
          <w:szCs w:val="28"/>
        </w:rPr>
        <w:t xml:space="preserve"> </w:t>
      </w:r>
      <w:r>
        <w:rPr>
          <w:rFonts w:hint="eastAsia" w:asciiTheme="majorEastAsia" w:hAnsiTheme="majorEastAsia" w:eastAsiaTheme="majorEastAsia" w:cstheme="majorEastAsia"/>
          <w:b/>
          <w:bCs/>
          <w:spacing w:val="5"/>
          <w:sz w:val="28"/>
          <w:szCs w:val="28"/>
        </w:rPr>
        <w:t>招生选拔</w:t>
      </w:r>
    </w:p>
    <w:p>
      <w:pPr>
        <w:autoSpaceDE/>
        <w:autoSpaceDN/>
        <w:spacing w:line="360" w:lineRule="auto"/>
        <w:ind w:firstLine="56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校根据上级主管部门有关规定，结合学校实际，制定《湖州师范学院硕士研究生招生简章》，依据社会对护理人才的需求和学校教育资源，合理确定招生规模，向社会公布招生信息，接受考生咨询。学校成立招生工作领导小组，统一领导、讨论决定招生工作的重大事项，学院招生工作领导小组具体负责招生宣传和实施招生工作。招生过程严格按照国家和省相关文件精神，遵循“公平竞争、公正选拔、公开透明”的原则，对考生的专业知识、实践技能、外语水平、发展潜力等进行全面考核、综合评价、择优录取。</w:t>
      </w:r>
      <w:r>
        <w:rPr>
          <w:rFonts w:hint="eastAsia" w:asciiTheme="majorEastAsia" w:hAnsiTheme="majorEastAsia" w:eastAsiaTheme="majorEastAsia" w:cstheme="majorEastAsia"/>
          <w:spacing w:val="-6"/>
          <w:sz w:val="28"/>
          <w:szCs w:val="28"/>
        </w:rPr>
        <w:t>纪委监察部门对招生录取工作全程进行监督。学院和研究生处对导师进行招生资格审查，确定招生名额。</w:t>
      </w:r>
      <w:r>
        <w:rPr>
          <w:rFonts w:hint="eastAsia" w:asciiTheme="majorEastAsia" w:hAnsiTheme="majorEastAsia" w:eastAsiaTheme="majorEastAsia" w:cstheme="majorEastAsia"/>
          <w:sz w:val="28"/>
          <w:szCs w:val="28"/>
        </w:rPr>
        <w:t>招生、复试、录取相关管理文件及制度完备，过程全程录音录像，资料及相关档案真实齐全。因疫情影响，本年度硕士研究生招生考试复试采用网络远程的方式，学院提前组织考生模拟网络远程复试，强调复试注意事项，专家小组坚持科学选拔、公平公正的原则,认真组织开展面试工作，顺利完成招生工作。本年度报考本学位点考生人数为503人，是近年来报考人数首次超过500人，上线人数共106人，最终招收护理硕士专业学位研究生87名，其中全日制80人，非全日制7名，招生规模同比扩大，具体情况见表5</w:t>
      </w:r>
      <w:r>
        <w:rPr>
          <w:rFonts w:hint="eastAsia" w:asciiTheme="majorEastAsia" w:hAnsiTheme="majorEastAsia" w:eastAsiaTheme="majorEastAsia" w:cstheme="majorEastAsia"/>
          <w:spacing w:val="-56"/>
          <w:sz w:val="28"/>
          <w:szCs w:val="28"/>
        </w:rPr>
        <w:t>。</w:t>
      </w:r>
    </w:p>
    <w:p>
      <w:pPr>
        <w:autoSpaceDE/>
        <w:autoSpaceDN/>
        <w:spacing w:line="360" w:lineRule="auto"/>
        <w:jc w:val="center"/>
        <w:rPr>
          <w:rFonts w:asciiTheme="majorEastAsia" w:hAnsiTheme="majorEastAsia" w:eastAsiaTheme="majorEastAsia" w:cstheme="majorEastAsia"/>
          <w:b/>
          <w:bCs/>
          <w:spacing w:val="-3"/>
          <w:sz w:val="28"/>
          <w:szCs w:val="28"/>
        </w:rPr>
      </w:pPr>
      <w:r>
        <w:rPr>
          <w:rFonts w:hint="eastAsia" w:asciiTheme="majorEastAsia" w:hAnsiTheme="majorEastAsia" w:eastAsiaTheme="majorEastAsia" w:cstheme="majorEastAsia"/>
          <w:b/>
          <w:bCs/>
          <w:spacing w:val="-3"/>
          <w:sz w:val="28"/>
          <w:szCs w:val="28"/>
        </w:rPr>
        <w:t>表5 招生基本信息</w:t>
      </w:r>
    </w:p>
    <w:tbl>
      <w:tblPr>
        <w:tblStyle w:val="8"/>
        <w:tblW w:w="8681" w:type="dxa"/>
        <w:tblInd w:w="98" w:type="dxa"/>
        <w:tblLayout w:type="fixed"/>
        <w:tblCellMar>
          <w:top w:w="0" w:type="dxa"/>
          <w:left w:w="108" w:type="dxa"/>
          <w:bottom w:w="0" w:type="dxa"/>
          <w:right w:w="108" w:type="dxa"/>
        </w:tblCellMar>
      </w:tblPr>
      <w:tblGrid>
        <w:gridCol w:w="876"/>
        <w:gridCol w:w="780"/>
        <w:gridCol w:w="780"/>
        <w:gridCol w:w="780"/>
        <w:gridCol w:w="780"/>
        <w:gridCol w:w="780"/>
        <w:gridCol w:w="780"/>
        <w:gridCol w:w="780"/>
        <w:gridCol w:w="780"/>
        <w:gridCol w:w="780"/>
        <w:gridCol w:w="785"/>
      </w:tblGrid>
      <w:tr>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val="0"/>
                <w:bCs w:val="0"/>
                <w:sz w:val="22"/>
                <w:szCs w:val="22"/>
              </w:rPr>
            </w:pPr>
            <w:r>
              <w:rPr>
                <w:rFonts w:hint="eastAsia" w:ascii="宋体" w:hAnsi="宋体" w:eastAsia="宋体" w:cs="宋体"/>
                <w:b w:val="0"/>
                <w:bCs w:val="0"/>
                <w:sz w:val="22"/>
                <w:szCs w:val="22"/>
              </w:rPr>
              <w:t>项目</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val="0"/>
                <w:bCs w:val="0"/>
                <w:sz w:val="22"/>
                <w:szCs w:val="22"/>
                <w:lang w:bidi="ar"/>
              </w:rPr>
            </w:pPr>
            <w:r>
              <w:rPr>
                <w:rFonts w:hint="eastAsia" w:ascii="宋体" w:hAnsi="宋体" w:eastAsia="宋体" w:cs="宋体"/>
                <w:b w:val="0"/>
                <w:bCs w:val="0"/>
                <w:sz w:val="22"/>
                <w:szCs w:val="22"/>
                <w:lang w:bidi="ar"/>
              </w:rPr>
              <w:t>报名</w:t>
            </w:r>
          </w:p>
          <w:p>
            <w:pPr>
              <w:jc w:val="center"/>
              <w:textAlignment w:val="center"/>
              <w:rPr>
                <w:rFonts w:ascii="宋体" w:hAnsi="宋体" w:eastAsia="宋体" w:cs="宋体"/>
                <w:b w:val="0"/>
                <w:bCs w:val="0"/>
                <w:sz w:val="22"/>
                <w:szCs w:val="22"/>
              </w:rPr>
            </w:pPr>
            <w:r>
              <w:rPr>
                <w:rFonts w:hint="eastAsia" w:ascii="宋体" w:hAnsi="宋体" w:eastAsia="宋体" w:cs="宋体"/>
                <w:b w:val="0"/>
                <w:bCs w:val="0"/>
                <w:sz w:val="22"/>
                <w:szCs w:val="22"/>
                <w:lang w:bidi="ar"/>
              </w:rPr>
              <w:t>（人）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val="0"/>
                <w:bCs w:val="0"/>
                <w:sz w:val="22"/>
                <w:szCs w:val="22"/>
                <w:lang w:bidi="ar"/>
              </w:rPr>
            </w:pPr>
            <w:r>
              <w:rPr>
                <w:rFonts w:hint="eastAsia" w:ascii="宋体" w:hAnsi="宋体" w:eastAsia="宋体" w:cs="宋体"/>
                <w:b w:val="0"/>
                <w:bCs w:val="0"/>
                <w:sz w:val="22"/>
                <w:szCs w:val="22"/>
                <w:lang w:bidi="ar"/>
              </w:rPr>
              <w:t>上线</w:t>
            </w:r>
          </w:p>
          <w:p>
            <w:pPr>
              <w:jc w:val="center"/>
              <w:textAlignment w:val="center"/>
              <w:rPr>
                <w:rFonts w:ascii="宋体" w:hAnsi="宋体" w:eastAsia="宋体" w:cs="宋体"/>
                <w:b w:val="0"/>
                <w:bCs w:val="0"/>
                <w:sz w:val="22"/>
                <w:szCs w:val="22"/>
              </w:rPr>
            </w:pPr>
            <w:r>
              <w:rPr>
                <w:rFonts w:hint="eastAsia" w:ascii="宋体" w:hAnsi="宋体" w:eastAsia="宋体" w:cs="宋体"/>
                <w:b w:val="0"/>
                <w:bCs w:val="0"/>
                <w:sz w:val="22"/>
                <w:szCs w:val="22"/>
                <w:lang w:bidi="ar"/>
              </w:rPr>
              <w:t>（人）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val="0"/>
                <w:bCs w:val="0"/>
                <w:sz w:val="22"/>
                <w:szCs w:val="22"/>
                <w:lang w:bidi="ar"/>
              </w:rPr>
            </w:pPr>
            <w:r>
              <w:rPr>
                <w:rFonts w:hint="eastAsia" w:ascii="宋体" w:hAnsi="宋体" w:eastAsia="宋体" w:cs="宋体"/>
                <w:b w:val="0"/>
                <w:bCs w:val="0"/>
                <w:sz w:val="22"/>
                <w:szCs w:val="22"/>
                <w:lang w:bidi="ar"/>
              </w:rPr>
              <w:t>招生录取</w:t>
            </w:r>
          </w:p>
          <w:p>
            <w:pPr>
              <w:jc w:val="center"/>
              <w:textAlignment w:val="center"/>
              <w:rPr>
                <w:rFonts w:ascii="宋体" w:hAnsi="宋体" w:eastAsia="宋体" w:cs="宋体"/>
                <w:b w:val="0"/>
                <w:bCs w:val="0"/>
                <w:sz w:val="22"/>
                <w:szCs w:val="22"/>
              </w:rPr>
            </w:pPr>
            <w:r>
              <w:rPr>
                <w:rFonts w:hint="eastAsia" w:ascii="宋体" w:hAnsi="宋体" w:eastAsia="宋体" w:cs="宋体"/>
                <w:b w:val="0"/>
                <w:bCs w:val="0"/>
                <w:sz w:val="22"/>
                <w:szCs w:val="22"/>
                <w:lang w:bidi="ar"/>
              </w:rPr>
              <w:t>（人）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val="0"/>
                <w:bCs w:val="0"/>
                <w:sz w:val="22"/>
                <w:szCs w:val="22"/>
                <w:lang w:bidi="ar"/>
              </w:rPr>
            </w:pPr>
            <w:r>
              <w:rPr>
                <w:rFonts w:hint="eastAsia" w:ascii="宋体" w:hAnsi="宋体" w:eastAsia="宋体" w:cs="宋体"/>
                <w:b w:val="0"/>
                <w:bCs w:val="0"/>
                <w:sz w:val="22"/>
                <w:szCs w:val="22"/>
                <w:lang w:bidi="ar"/>
              </w:rPr>
              <w:t>上线率</w:t>
            </w:r>
          </w:p>
          <w:p>
            <w:pPr>
              <w:jc w:val="center"/>
              <w:textAlignment w:val="center"/>
              <w:rPr>
                <w:rFonts w:ascii="宋体" w:hAnsi="宋体" w:eastAsia="宋体" w:cs="宋体"/>
                <w:b w:val="0"/>
                <w:bCs w:val="0"/>
                <w:color w:val="FF0000"/>
                <w:sz w:val="22"/>
                <w:szCs w:val="22"/>
              </w:rPr>
            </w:pPr>
            <w:r>
              <w:rPr>
                <w:rFonts w:hint="eastAsia" w:ascii="宋体" w:hAnsi="宋体" w:eastAsia="宋体" w:cs="宋体"/>
                <w:b w:val="0"/>
                <w:bCs w:val="0"/>
                <w:sz w:val="22"/>
                <w:szCs w:val="22"/>
                <w:lang w:bidi="ar"/>
              </w:rPr>
              <w:t xml:space="preserve">（%） </w:t>
            </w: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val="0"/>
                <w:bCs w:val="0"/>
                <w:sz w:val="22"/>
                <w:szCs w:val="22"/>
                <w:lang w:bidi="ar"/>
              </w:rPr>
            </w:pPr>
            <w:r>
              <w:rPr>
                <w:rFonts w:hint="eastAsia" w:ascii="宋体" w:hAnsi="宋体" w:eastAsia="宋体" w:cs="宋体"/>
                <w:b w:val="0"/>
                <w:bCs w:val="0"/>
                <w:sz w:val="22"/>
                <w:szCs w:val="22"/>
                <w:lang w:bidi="ar"/>
              </w:rPr>
              <w:t>录取比例</w:t>
            </w:r>
          </w:p>
          <w:p>
            <w:pPr>
              <w:jc w:val="center"/>
              <w:textAlignment w:val="center"/>
              <w:rPr>
                <w:rFonts w:ascii="宋体" w:hAnsi="宋体" w:eastAsia="宋体" w:cs="宋体"/>
                <w:b w:val="0"/>
                <w:bCs w:val="0"/>
                <w:sz w:val="22"/>
                <w:szCs w:val="22"/>
              </w:rPr>
            </w:pPr>
            <w:r>
              <w:rPr>
                <w:rFonts w:hint="eastAsia" w:ascii="宋体" w:hAnsi="宋体" w:eastAsia="宋体" w:cs="宋体"/>
                <w:b w:val="0"/>
                <w:bCs w:val="0"/>
                <w:sz w:val="22"/>
                <w:szCs w:val="22"/>
                <w:lang w:bidi="ar"/>
              </w:rPr>
              <w:t>（%）</w:t>
            </w:r>
          </w:p>
        </w:tc>
      </w:tr>
      <w:tr>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类型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非全日制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非全日制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非全日制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FF0000"/>
                <w:sz w:val="22"/>
                <w:szCs w:val="22"/>
              </w:rPr>
            </w:pPr>
            <w:r>
              <w:rPr>
                <w:rFonts w:hint="eastAsia" w:ascii="宋体" w:hAnsi="宋体" w:eastAsia="宋体" w:cs="宋体"/>
                <w:sz w:val="22"/>
                <w:szCs w:val="22"/>
                <w:lang w:bidi="ar"/>
              </w:rPr>
              <w:t>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FF0000"/>
                <w:sz w:val="22"/>
                <w:szCs w:val="22"/>
              </w:rPr>
            </w:pPr>
            <w:r>
              <w:rPr>
                <w:rFonts w:hint="eastAsia" w:ascii="宋体" w:hAnsi="宋体" w:eastAsia="宋体" w:cs="宋体"/>
                <w:sz w:val="22"/>
                <w:szCs w:val="22"/>
                <w:lang w:bidi="ar"/>
              </w:rPr>
              <w:t>非全日制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全日制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非全日制</w:t>
            </w:r>
          </w:p>
        </w:tc>
      </w:tr>
      <w:tr>
        <w:tblPrEx>
          <w:tblCellMar>
            <w:top w:w="0" w:type="dxa"/>
            <w:left w:w="108" w:type="dxa"/>
            <w:bottom w:w="0" w:type="dxa"/>
            <w:right w:w="108" w:type="dxa"/>
          </w:tblCellMar>
        </w:tblPrEx>
        <w:trPr>
          <w:trHeight w:val="4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2021级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503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FF0000"/>
                <w:sz w:val="22"/>
                <w:szCs w:val="22"/>
              </w:rPr>
            </w:pPr>
            <w:r>
              <w:rPr>
                <w:rFonts w:hint="eastAsia" w:ascii="宋体" w:hAnsi="宋体" w:eastAsia="宋体" w:cs="宋体"/>
                <w:sz w:val="22"/>
                <w:szCs w:val="22"/>
                <w:lang w:bidi="ar"/>
              </w:rPr>
              <w:t>20.3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FF0000"/>
                <w:sz w:val="22"/>
                <w:szCs w:val="22"/>
              </w:rPr>
            </w:pPr>
            <w:r>
              <w:rPr>
                <w:rFonts w:hint="eastAsia" w:ascii="宋体" w:hAnsi="宋体" w:eastAsia="宋体" w:cs="宋体"/>
                <w:sz w:val="22"/>
                <w:szCs w:val="22"/>
                <w:lang w:bidi="ar"/>
              </w:rPr>
              <w:t>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15.9</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bidi="ar"/>
              </w:rPr>
              <w:t>5.3</w:t>
            </w:r>
          </w:p>
        </w:tc>
      </w:tr>
    </w:tbl>
    <w:p>
      <w:pPr>
        <w:spacing w:line="360" w:lineRule="auto"/>
        <w:jc w:val="both"/>
        <w:rPr>
          <w:rFonts w:asciiTheme="majorEastAsia" w:hAnsiTheme="majorEastAsia" w:eastAsiaTheme="majorEastAsia" w:cstheme="majorEastAsia"/>
          <w:b/>
          <w:bCs/>
          <w:spacing w:val="11"/>
          <w:sz w:val="28"/>
          <w:szCs w:val="28"/>
        </w:rPr>
      </w:pPr>
      <w:r>
        <w:rPr>
          <w:rFonts w:hint="eastAsia" w:asciiTheme="majorEastAsia" w:hAnsiTheme="majorEastAsia" w:eastAsiaTheme="majorEastAsia" w:cstheme="majorEastAsia"/>
          <w:b/>
          <w:bCs/>
          <w:spacing w:val="11"/>
          <w:sz w:val="28"/>
          <w:szCs w:val="28"/>
        </w:rPr>
        <w:t>2</w:t>
      </w:r>
      <w:r>
        <w:rPr>
          <w:rFonts w:hint="eastAsia" w:asciiTheme="majorEastAsia" w:hAnsiTheme="majorEastAsia" w:eastAsiaTheme="majorEastAsia" w:cstheme="majorEastAsia"/>
          <w:spacing w:val="55"/>
          <w:sz w:val="28"/>
          <w:szCs w:val="28"/>
        </w:rPr>
        <w:t xml:space="preserve"> </w:t>
      </w:r>
      <w:r>
        <w:rPr>
          <w:rFonts w:hint="eastAsia" w:asciiTheme="majorEastAsia" w:hAnsiTheme="majorEastAsia" w:eastAsiaTheme="majorEastAsia" w:cstheme="majorEastAsia"/>
          <w:b/>
          <w:bCs/>
          <w:spacing w:val="11"/>
          <w:sz w:val="28"/>
          <w:szCs w:val="28"/>
        </w:rPr>
        <w:t>思政教育</w:t>
      </w:r>
    </w:p>
    <w:p>
      <w:pPr>
        <w:spacing w:line="360" w:lineRule="auto"/>
        <w:ind w:firstLine="668" w:firstLineChars="200"/>
        <w:jc w:val="both"/>
        <w:rPr>
          <w:rFonts w:asciiTheme="majorEastAsia" w:hAnsiTheme="majorEastAsia" w:eastAsiaTheme="majorEastAsia" w:cstheme="majorEastAsia"/>
          <w:spacing w:val="5"/>
          <w:sz w:val="28"/>
          <w:szCs w:val="28"/>
        </w:rPr>
      </w:pPr>
      <w:r>
        <w:rPr>
          <w:rFonts w:hint="eastAsia" w:asciiTheme="majorEastAsia" w:hAnsiTheme="majorEastAsia" w:eastAsiaTheme="majorEastAsia" w:cstheme="majorEastAsia"/>
          <w:spacing w:val="27"/>
          <w:sz w:val="28"/>
          <w:szCs w:val="28"/>
        </w:rPr>
        <w:t>坚持以习近平新时代中国特色社会主义思想为指导，秉承</w:t>
      </w:r>
      <w:r>
        <w:rPr>
          <w:rFonts w:hint="eastAsia" w:asciiTheme="majorEastAsia" w:hAnsiTheme="majorEastAsia" w:eastAsiaTheme="majorEastAsia" w:cstheme="majorEastAsia"/>
          <w:spacing w:val="26"/>
          <w:sz w:val="28"/>
          <w:szCs w:val="28"/>
        </w:rPr>
        <w:t>学校“</w:t>
      </w:r>
      <w:r>
        <w:rPr>
          <w:rFonts w:hint="eastAsia" w:asciiTheme="majorEastAsia" w:hAnsiTheme="majorEastAsia" w:eastAsiaTheme="majorEastAsia" w:cstheme="majorEastAsia"/>
          <w:spacing w:val="11"/>
          <w:sz w:val="28"/>
          <w:szCs w:val="28"/>
        </w:rPr>
        <w:t>明体达用”的办学特色，以立德树人为根</w:t>
      </w:r>
      <w:r>
        <w:rPr>
          <w:rFonts w:hint="eastAsia" w:asciiTheme="majorEastAsia" w:hAnsiTheme="majorEastAsia" w:eastAsiaTheme="majorEastAsia" w:cstheme="majorEastAsia"/>
          <w:spacing w:val="10"/>
          <w:sz w:val="28"/>
          <w:szCs w:val="28"/>
        </w:rPr>
        <w:t>本，</w:t>
      </w:r>
      <w:r>
        <w:rPr>
          <w:rFonts w:hint="eastAsia" w:asciiTheme="majorEastAsia" w:hAnsiTheme="majorEastAsia" w:eastAsiaTheme="majorEastAsia" w:cstheme="majorEastAsia"/>
          <w:spacing w:val="15"/>
          <w:sz w:val="28"/>
          <w:szCs w:val="28"/>
        </w:rPr>
        <w:t>以理想信念教育为核心，以社会主义核心价值观为引领，以提高护理</w:t>
      </w:r>
      <w:r>
        <w:rPr>
          <w:rFonts w:hint="eastAsia" w:asciiTheme="majorEastAsia" w:hAnsiTheme="majorEastAsia" w:eastAsiaTheme="majorEastAsia" w:cstheme="majorEastAsia"/>
          <w:spacing w:val="5"/>
          <w:sz w:val="28"/>
          <w:szCs w:val="28"/>
        </w:rPr>
        <w:t>高层次人才培养能力为关键，全面推进“三全”育人建设。</w:t>
      </w:r>
    </w:p>
    <w:p>
      <w:pPr>
        <w:pStyle w:val="2"/>
        <w:numPr>
          <w:ilvl w:val="0"/>
          <w:numId w:val="1"/>
        </w:numPr>
        <w:autoSpaceDE/>
        <w:autoSpaceDN/>
        <w:spacing w:line="360" w:lineRule="auto"/>
        <w:ind w:firstLine="0" w:firstLineChars="0"/>
        <w:jc w:val="both"/>
        <w:rPr>
          <w:rFonts w:asciiTheme="majorEastAsia" w:hAnsiTheme="majorEastAsia" w:eastAsiaTheme="majorEastAsia" w:cstheme="majorEastAsia"/>
          <w:b/>
          <w:bCs w:val="0"/>
          <w:lang w:eastAsia="zh-CN"/>
        </w:rPr>
      </w:pPr>
      <w:r>
        <w:rPr>
          <w:rFonts w:hint="eastAsia" w:asciiTheme="majorEastAsia" w:hAnsiTheme="majorEastAsia" w:eastAsiaTheme="majorEastAsia" w:cstheme="majorEastAsia"/>
          <w:b/>
          <w:bCs w:val="0"/>
          <w:lang w:eastAsia="zh-CN"/>
        </w:rPr>
        <w:t>三全育人</w:t>
      </w:r>
      <w:r>
        <w:rPr>
          <w:rFonts w:hint="eastAsia" w:asciiTheme="majorEastAsia" w:hAnsiTheme="majorEastAsia" w:eastAsiaTheme="majorEastAsia" w:cstheme="majorEastAsia"/>
          <w:b/>
          <w:bCs w:val="0"/>
        </w:rPr>
        <w:t>人文素养体系</w:t>
      </w:r>
    </w:p>
    <w:p>
      <w:pPr>
        <w:pStyle w:val="2"/>
        <w:autoSpaceDE/>
        <w:autoSpaceDN/>
        <w:spacing w:line="360" w:lineRule="auto"/>
        <w:ind w:firstLine="560" w:firstLineChars="200"/>
        <w:jc w:val="both"/>
        <w:rPr>
          <w:rFonts w:asciiTheme="majorEastAsia" w:hAnsiTheme="majorEastAsia" w:eastAsiaTheme="majorEastAsia" w:cstheme="majorEastAsia"/>
          <w:spacing w:val="5"/>
          <w:lang w:eastAsia="zh-CN"/>
        </w:rPr>
      </w:pPr>
      <w:r>
        <w:rPr>
          <w:rFonts w:hint="eastAsia" w:asciiTheme="majorEastAsia" w:hAnsiTheme="majorEastAsia" w:eastAsiaTheme="majorEastAsia" w:cstheme="majorEastAsia"/>
          <w:bCs/>
          <w:lang w:eastAsia="zh-CN"/>
        </w:rPr>
        <w:t>学院专门出台了《医学院、护理学院推进课程思政实施方案》，在护理硕士专业学位研究生培养中，充分利用身边的两位“南丁格尔”和综合性大学人文学科等特色优势资源，坚持人文与专业相交融，建立人文内容覆盖课堂教学、校园文化和社会实践为一体的人文素质教育体系，将南丁格尔精神品质内化到学生的思想意识与实践行动中。创建《人文护理学》必修课，设计体验式、沉浸式、行动反思式人文教学新方法，将人文元素嵌入专业课程和阶段性考评体系中；开发多模态实践教学素材，包括“医学生宣誓仪式”“南丁格尔足迹追寻仪式”“南丁格尔奖章获得者感言”仪式教育；打造“中国南丁格尔教育馆”“中国南丁格尔志愿服务队”“人文大讲堂”等系列载体；搭建“3馆3碑3室2楼1林1场1廊”的人文教育平台，形成以南丁格尔楷模为教育环境的“全结构、全过程、立体式”人文素养育人体系（见图2）。</w:t>
      </w:r>
    </w:p>
    <w:p>
      <w:pPr>
        <w:pStyle w:val="2"/>
        <w:spacing w:line="360" w:lineRule="auto"/>
        <w:ind w:firstLine="0" w:firstLineChars="0"/>
        <w:jc w:val="both"/>
        <w:rPr>
          <w:rFonts w:asciiTheme="majorEastAsia" w:hAnsiTheme="majorEastAsia" w:eastAsiaTheme="majorEastAsia" w:cstheme="majorEastAsia"/>
          <w:spacing w:val="5"/>
        </w:rPr>
      </w:pPr>
      <w:r>
        <w:rPr>
          <w:rFonts w:hint="eastAsia" w:asciiTheme="majorEastAsia" w:hAnsiTheme="majorEastAsia" w:eastAsiaTheme="majorEastAsia" w:cstheme="majorEastAsia"/>
          <w:spacing w:val="4"/>
        </w:rPr>
        <w:drawing>
          <wp:inline distT="0" distB="0" distL="0" distR="0">
            <wp:extent cx="5274310" cy="2931160"/>
            <wp:effectExtent l="0" t="0" r="889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5274310" cy="2931646"/>
                    </a:xfrm>
                    <a:prstGeom prst="rect">
                      <a:avLst/>
                    </a:prstGeom>
                    <a:noFill/>
                    <a:ln w="9525">
                      <a:noFill/>
                      <a:miter lim="800000"/>
                      <a:headEnd/>
                      <a:tailEnd/>
                    </a:ln>
                  </pic:spPr>
                </pic:pic>
              </a:graphicData>
            </a:graphic>
          </wp:inline>
        </w:drawing>
      </w:r>
    </w:p>
    <w:p>
      <w:pPr>
        <w:pStyle w:val="2"/>
        <w:autoSpaceDE/>
        <w:autoSpaceDN/>
        <w:spacing w:line="360" w:lineRule="auto"/>
        <w:ind w:firstLine="0" w:firstLineChars="0"/>
        <w:jc w:val="center"/>
        <w:rPr>
          <w:rFonts w:asciiTheme="majorEastAsia" w:hAnsiTheme="majorEastAsia" w:eastAsiaTheme="majorEastAsia" w:cstheme="majorEastAsia"/>
          <w:spacing w:val="5"/>
          <w:lang w:eastAsia="zh-CN"/>
        </w:rPr>
      </w:pPr>
      <w:r>
        <w:rPr>
          <w:rFonts w:hint="eastAsia" w:asciiTheme="majorEastAsia" w:hAnsiTheme="majorEastAsia" w:eastAsiaTheme="majorEastAsia" w:cstheme="majorEastAsia"/>
          <w:b/>
          <w:lang w:eastAsia="zh-CN"/>
        </w:rPr>
        <w:t>图2 基于“1+2+3+N”育人框架的“立体式”人文素养育人体系</w:t>
      </w:r>
    </w:p>
    <w:p>
      <w:pPr>
        <w:numPr>
          <w:ilvl w:val="0"/>
          <w:numId w:val="2"/>
        </w:numPr>
        <w:autoSpaceDE/>
        <w:autoSpaceDN/>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pacing w:val="16"/>
          <w:sz w:val="28"/>
          <w:szCs w:val="28"/>
        </w:rPr>
        <w:t xml:space="preserve">开展专业课程思政教学改革 </w:t>
      </w:r>
    </w:p>
    <w:p>
      <w:pPr>
        <w:autoSpaceDE/>
        <w:autoSpaceDN/>
        <w:spacing w:line="360" w:lineRule="auto"/>
        <w:ind w:firstLine="624"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16"/>
          <w:sz w:val="28"/>
          <w:szCs w:val="28"/>
        </w:rPr>
        <w:t>坚持“立德树人”使命，组织</w:t>
      </w:r>
      <w:r>
        <w:rPr>
          <w:rFonts w:hint="eastAsia" w:asciiTheme="majorEastAsia" w:hAnsiTheme="majorEastAsia" w:eastAsiaTheme="majorEastAsia" w:cstheme="majorEastAsia"/>
          <w:spacing w:val="20"/>
          <w:sz w:val="28"/>
          <w:szCs w:val="28"/>
        </w:rPr>
        <w:t>教师参加线上/线下课程思政培训，大力支持教师开展专业课课程思政教</w:t>
      </w:r>
      <w:r>
        <w:rPr>
          <w:rFonts w:hint="eastAsia" w:asciiTheme="majorEastAsia" w:hAnsiTheme="majorEastAsia" w:eastAsiaTheme="majorEastAsia" w:cstheme="majorEastAsia"/>
          <w:sz w:val="28"/>
          <w:szCs w:val="28"/>
        </w:rPr>
        <w:t>学研究，教师重视课程思政教育，系统挖掘课程蕴含的思政元素，修订教学大纲和完善教学设计。本年度成功申报校级教育教学改革项目1项，即智慧校园背景下专业学位研究生德育实践创新研究。</w:t>
      </w:r>
    </w:p>
    <w:p>
      <w:pPr>
        <w:numPr>
          <w:ilvl w:val="0"/>
          <w:numId w:val="2"/>
        </w:numPr>
        <w:autoSpaceDE/>
        <w:autoSpaceDN/>
        <w:spacing w:line="360" w:lineRule="auto"/>
        <w:jc w:val="both"/>
        <w:rPr>
          <w:rFonts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6"/>
          <w:sz w:val="28"/>
          <w:szCs w:val="28"/>
        </w:rPr>
        <w:t>多方联动发挥党组织育人</w:t>
      </w:r>
    </w:p>
    <w:p>
      <w:pPr>
        <w:autoSpaceDE/>
        <w:autoSpaceDN/>
        <w:spacing w:line="360" w:lineRule="auto"/>
        <w:ind w:firstLine="592" w:firstLineChars="200"/>
        <w:jc w:val="both"/>
        <w:rPr>
          <w:rFonts w:asciiTheme="majorEastAsia" w:hAnsiTheme="majorEastAsia" w:eastAsiaTheme="majorEastAsia" w:cstheme="majorEastAsia"/>
          <w:spacing w:val="8"/>
          <w:sz w:val="28"/>
          <w:szCs w:val="28"/>
          <w:lang w:val="zh-CN"/>
        </w:rPr>
      </w:pPr>
      <w:r>
        <w:rPr>
          <w:rFonts w:hint="eastAsia" w:asciiTheme="majorEastAsia" w:hAnsiTheme="majorEastAsia" w:eastAsiaTheme="majorEastAsia" w:cstheme="majorEastAsia"/>
          <w:spacing w:val="8"/>
          <w:sz w:val="28"/>
          <w:szCs w:val="28"/>
        </w:rPr>
        <w:t>用党史教育引领学生党性培育，系好党性修养“第一粒扣子”。2021年是中国共产党成立100周年，全体团员围绕党史学习教育开展了丰富多彩的活动，按照“学党史，悟思想，办实事，开新局”的要求，深入学习了习近平总书记在庆祝建党100周年大会上的讲话精神和党的十九届六中全会精神，学习场数达30余场。2021年6月开展了“毕业了重温入党誓词”活动，9月学院集中开展了新生入党启蒙，党建中心和各支部组织主题观影活动10余次，观看了《中国医生》《革命者》《建党伟业》等主题电影。各支部还组织参观了“我与母亲的故事——湖州市庆祝中国共产党成立100周年革命文物特展”、“星驰潮涌——庆祝中国共产党成立100周年主题艺术特展（湖州巡展）”等展览，并奔赴郎部抗战纪念馆、湖州市烈士陵园、钱壮飞纪念馆等地开展现场主题党课。</w:t>
      </w:r>
    </w:p>
    <w:p>
      <w:pPr>
        <w:pStyle w:val="2"/>
        <w:spacing w:line="360" w:lineRule="auto"/>
        <w:ind w:firstLine="592" w:firstLineChars="200"/>
        <w:rPr>
          <w:rFonts w:asciiTheme="majorEastAsia" w:hAnsiTheme="majorEastAsia" w:eastAsiaTheme="majorEastAsia" w:cstheme="majorEastAsia"/>
          <w:spacing w:val="15"/>
          <w:lang w:eastAsia="zh-CN"/>
        </w:rPr>
      </w:pPr>
      <w:r>
        <w:rPr>
          <w:rFonts w:hint="eastAsia" w:asciiTheme="majorEastAsia" w:hAnsiTheme="majorEastAsia" w:eastAsiaTheme="majorEastAsia" w:cstheme="majorEastAsia"/>
          <w:spacing w:val="8"/>
          <w:lang w:eastAsia="zh-CN"/>
        </w:rPr>
        <w:t>学院</w:t>
      </w:r>
      <w:r>
        <w:rPr>
          <w:rFonts w:hint="eastAsia" w:asciiTheme="majorEastAsia" w:hAnsiTheme="majorEastAsia" w:eastAsiaTheme="majorEastAsia" w:cstheme="majorEastAsia"/>
          <w:spacing w:val="8"/>
          <w:lang w:val="zh-CN" w:eastAsia="zh-CN"/>
        </w:rPr>
        <w:t>构建党员参与学生日常教育管理平台，强化网格、网络双网教育管理。以支部为支撑点建立学生工作管理网格，条块管理、模块结合，将支部建设与学生工作充分协同，每位党员都置于网格管理中，常态化参与各类学生教育和管理工作，最大程度地延伸学生党建工作的手臂。加强微信、微博、QQ“三网融合”，传播党建正能量，构建立体化、网格化、网络化学生党建工作平台。“医心向党”成才领航工程以党员为基点，以专业党支部为模块，以支部所属班级为单元，实行网格化、条块化、精细化管理，充分发挥每位学生党员的先锋模范和示范引领作用，从而起到星星之火可以燎原之势，全面引领医学生在道德品质、职业技能、人文关怀全方位的成长成才。</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1"/>
          <w:sz w:val="28"/>
          <w:szCs w:val="28"/>
        </w:rPr>
        <w:t>3</w:t>
      </w:r>
      <w:r>
        <w:rPr>
          <w:rFonts w:hint="eastAsia" w:asciiTheme="majorEastAsia" w:hAnsiTheme="majorEastAsia" w:eastAsiaTheme="majorEastAsia" w:cstheme="majorEastAsia"/>
          <w:spacing w:val="76"/>
          <w:sz w:val="28"/>
          <w:szCs w:val="28"/>
        </w:rPr>
        <w:t xml:space="preserve"> </w:t>
      </w:r>
      <w:r>
        <w:rPr>
          <w:rFonts w:hint="eastAsia" w:asciiTheme="majorEastAsia" w:hAnsiTheme="majorEastAsia" w:eastAsiaTheme="majorEastAsia" w:cstheme="majorEastAsia"/>
          <w:b/>
          <w:bCs/>
          <w:spacing w:val="11"/>
          <w:sz w:val="28"/>
          <w:szCs w:val="28"/>
        </w:rPr>
        <w:t>课程教学</w:t>
      </w:r>
    </w:p>
    <w:p>
      <w:pPr>
        <w:autoSpaceDE/>
        <w:autoSpaceDN/>
        <w:spacing w:line="360" w:lineRule="auto"/>
        <w:ind w:firstLine="560" w:firstLineChars="200"/>
        <w:jc w:val="both"/>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依据护理专硕应具备的政治思想素质、自主学习能力、临床实践能力、沟通交流能力、科学思维及临床研究能力、临床管理与协调能力、临床教学能力等要求，构建了含</w:t>
      </w:r>
      <w:r>
        <w:rPr>
          <w:rFonts w:hint="eastAsia" w:asciiTheme="majorEastAsia" w:hAnsiTheme="majorEastAsia" w:eastAsiaTheme="majorEastAsia" w:cstheme="majorEastAsia"/>
          <w:bCs/>
          <w:sz w:val="28"/>
          <w:szCs w:val="28"/>
        </w:rPr>
        <w:t>公共学位课、专业学位课、公共选修课、专业选修课</w:t>
      </w:r>
      <w:r>
        <w:rPr>
          <w:rFonts w:hint="eastAsia" w:asciiTheme="majorEastAsia" w:hAnsiTheme="majorEastAsia" w:eastAsiaTheme="majorEastAsia" w:cstheme="majorEastAsia"/>
          <w:sz w:val="28"/>
          <w:szCs w:val="28"/>
        </w:rPr>
        <w:t>四个模块的课程教学体系，</w:t>
      </w:r>
      <w:r>
        <w:rPr>
          <w:rFonts w:hint="eastAsia" w:asciiTheme="majorEastAsia" w:hAnsiTheme="majorEastAsia" w:eastAsiaTheme="majorEastAsia" w:cstheme="majorEastAsia"/>
          <w:bCs/>
          <w:sz w:val="28"/>
          <w:szCs w:val="28"/>
        </w:rPr>
        <w:t>共计522学时，课程学习实行学分制，要求修满30学分，此外</w:t>
      </w:r>
      <w:r>
        <w:rPr>
          <w:rFonts w:hint="eastAsia" w:ascii="Times New Roman" w:hAnsi="Times New Roman" w:cs="Times New Roman"/>
          <w:kern w:val="2"/>
          <w:sz w:val="28"/>
        </w:rPr>
        <w:t>专业实践10学分</w:t>
      </w:r>
      <w:r>
        <w:rPr>
          <w:rFonts w:hint="eastAsia" w:ascii="Times New Roman" w:hAnsi="Times New Roman" w:eastAsia="宋体" w:cs="Times New Roman"/>
          <w:kern w:val="2"/>
          <w:sz w:val="28"/>
          <w:lang w:eastAsia="zh-CN"/>
        </w:rPr>
        <w:t>（</w:t>
      </w:r>
      <w:r>
        <w:rPr>
          <w:rFonts w:hint="eastAsia" w:asciiTheme="majorEastAsia" w:hAnsiTheme="majorEastAsia" w:eastAsiaTheme="majorEastAsia" w:cstheme="majorEastAsia"/>
          <w:bCs/>
          <w:sz w:val="28"/>
          <w:szCs w:val="28"/>
        </w:rPr>
        <w:t>见表6</w:t>
      </w:r>
      <w:r>
        <w:rPr>
          <w:rFonts w:hint="eastAsia" w:ascii="Times New Roman" w:hAnsi="Times New Roman" w:eastAsia="宋体" w:cs="Times New Roman"/>
          <w:kern w:val="2"/>
          <w:sz w:val="28"/>
          <w:lang w:eastAsia="zh-CN"/>
        </w:rPr>
        <w:t>）</w:t>
      </w:r>
      <w:r>
        <w:rPr>
          <w:rFonts w:hint="eastAsia" w:asciiTheme="majorEastAsia" w:hAnsiTheme="majorEastAsia" w:eastAsiaTheme="majorEastAsia" w:cstheme="majorEastAsia"/>
          <w:bCs/>
          <w:sz w:val="28"/>
          <w:szCs w:val="28"/>
        </w:rPr>
        <w:t>。</w:t>
      </w:r>
    </w:p>
    <w:p>
      <w:pPr>
        <w:spacing w:line="360" w:lineRule="auto"/>
        <w:ind w:firstLine="624" w:firstLineChars="200"/>
        <w:jc w:val="both"/>
      </w:pPr>
      <w:r>
        <w:rPr>
          <w:rFonts w:hint="eastAsia" w:asciiTheme="majorEastAsia" w:hAnsiTheme="majorEastAsia" w:eastAsiaTheme="majorEastAsia" w:cstheme="majorEastAsia"/>
          <w:spacing w:val="16"/>
          <w:sz w:val="28"/>
          <w:szCs w:val="28"/>
        </w:rPr>
        <w:t>课程设置丰富，包含提高岗位能力素养的通识性课程，有培养专业核心能力的基础性课程和综合性课程，有为不同研究方向设置的个性化选修课程。课程计划围绕培养目标，开设适应研究生培养特点的专门课程，如《护理科研方法与论文写作》、《循证护理》等方法学课程；构建理论教学与临床实践有效衔接的课程体系，如《高级健康评估》《高级护理实践》《循证护理实践训练》等，能满足护理硕士专业学位研究生的培养需求。教师教学结合卫生保健领域需求变化及时更新课程内容，加强课程思政，充分挖掘专业课程中的德育元素，实现专业教育与品德教育有机结合，把立德树人贯彻到教育教学的全过程。加强学风建设，营造良好的学习氛围；加强学术规范、诚信、医德医风教育，建立制度并落实监督责任。</w:t>
      </w:r>
    </w:p>
    <w:p>
      <w:pPr>
        <w:pStyle w:val="2"/>
        <w:autoSpaceDE/>
        <w:autoSpaceDN/>
        <w:ind w:firstLine="281"/>
        <w:jc w:val="center"/>
        <w:rPr>
          <w:rFonts w:asciiTheme="majorEastAsia" w:hAnsiTheme="majorEastAsia" w:eastAsiaTheme="majorEastAsia" w:cstheme="majorEastAsia"/>
          <w:b/>
          <w:lang w:eastAsia="zh-CN"/>
        </w:rPr>
      </w:pPr>
      <w:r>
        <w:rPr>
          <w:rFonts w:hint="eastAsia" w:asciiTheme="majorEastAsia" w:hAnsiTheme="majorEastAsia" w:eastAsiaTheme="majorEastAsia" w:cstheme="majorEastAsia"/>
          <w:b/>
          <w:lang w:eastAsia="zh-CN"/>
        </w:rPr>
        <w:t>表6 研究生课程设置情况</w:t>
      </w:r>
    </w:p>
    <w:tbl>
      <w:tblPr>
        <w:tblStyle w:val="8"/>
        <w:tblpPr w:leftFromText="180" w:rightFromText="180" w:vertAnchor="text" w:horzAnchor="page" w:tblpX="1293" w:tblpY="555"/>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2586"/>
        <w:gridCol w:w="385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jc w:val="center"/>
              <w:rPr>
                <w:rFonts w:asciiTheme="majorEastAsia" w:hAnsiTheme="majorEastAsia" w:eastAsiaTheme="majorEastAsia" w:cstheme="majorEastAsia"/>
                <w:b w:val="0"/>
                <w:bCs/>
              </w:rPr>
            </w:pPr>
            <w:r>
              <w:rPr>
                <w:rFonts w:hint="eastAsia" w:asciiTheme="majorEastAsia" w:hAnsiTheme="majorEastAsia" w:eastAsiaTheme="majorEastAsia" w:cstheme="majorEastAsia"/>
                <w:b w:val="0"/>
                <w:bCs/>
              </w:rPr>
              <w:t>课程类别</w:t>
            </w:r>
          </w:p>
        </w:tc>
        <w:tc>
          <w:tcPr>
            <w:tcW w:w="2586" w:type="dxa"/>
            <w:vAlign w:val="center"/>
          </w:tcPr>
          <w:p>
            <w:pPr>
              <w:tabs>
                <w:tab w:val="left" w:pos="2730"/>
              </w:tabs>
              <w:ind w:firstLine="216" w:firstLineChars="103"/>
              <w:jc w:val="center"/>
              <w:rPr>
                <w:rFonts w:asciiTheme="majorEastAsia" w:hAnsiTheme="majorEastAsia" w:eastAsiaTheme="majorEastAsia" w:cstheme="majorEastAsia"/>
                <w:b w:val="0"/>
                <w:bCs/>
              </w:rPr>
            </w:pPr>
            <w:r>
              <w:rPr>
                <w:rFonts w:hint="eastAsia" w:asciiTheme="majorEastAsia" w:hAnsiTheme="majorEastAsia" w:eastAsiaTheme="majorEastAsia" w:cstheme="majorEastAsia"/>
                <w:b w:val="0"/>
                <w:bCs/>
              </w:rPr>
              <w:t>课程名称</w:t>
            </w:r>
          </w:p>
        </w:tc>
        <w:tc>
          <w:tcPr>
            <w:tcW w:w="3854" w:type="dxa"/>
            <w:vAlign w:val="center"/>
          </w:tcPr>
          <w:p>
            <w:pPr>
              <w:jc w:val="center"/>
              <w:rPr>
                <w:rFonts w:asciiTheme="majorEastAsia" w:hAnsiTheme="majorEastAsia" w:eastAsiaTheme="majorEastAsia" w:cstheme="majorEastAsia"/>
                <w:b w:val="0"/>
                <w:bCs/>
              </w:rPr>
            </w:pPr>
            <w:r>
              <w:rPr>
                <w:rFonts w:hint="eastAsia" w:asciiTheme="majorEastAsia" w:hAnsiTheme="majorEastAsia" w:eastAsiaTheme="majorEastAsia" w:cstheme="majorEastAsia"/>
                <w:b w:val="0"/>
                <w:bCs/>
              </w:rPr>
              <w:t>与岗位能力的主要对应</w:t>
            </w:r>
          </w:p>
          <w:p>
            <w:pPr>
              <w:jc w:val="center"/>
              <w:rPr>
                <w:rFonts w:asciiTheme="majorEastAsia" w:hAnsiTheme="majorEastAsia" w:eastAsiaTheme="majorEastAsia" w:cstheme="majorEastAsia"/>
                <w:b w:val="0"/>
                <w:bCs/>
              </w:rPr>
            </w:pPr>
            <w:r>
              <w:rPr>
                <w:rFonts w:hint="eastAsia" w:asciiTheme="majorEastAsia" w:hAnsiTheme="majorEastAsia" w:eastAsiaTheme="majorEastAsia" w:cstheme="majorEastAsia"/>
                <w:b w:val="0"/>
                <w:bCs/>
              </w:rPr>
              <w:t>关系</w:t>
            </w:r>
          </w:p>
        </w:tc>
        <w:tc>
          <w:tcPr>
            <w:tcW w:w="832" w:type="dxa"/>
            <w:vAlign w:val="center"/>
          </w:tcPr>
          <w:p>
            <w:pPr>
              <w:jc w:val="center"/>
              <w:rPr>
                <w:rFonts w:asciiTheme="majorEastAsia" w:hAnsiTheme="majorEastAsia" w:eastAsiaTheme="majorEastAsia" w:cstheme="majorEastAsia"/>
                <w:b w:val="0"/>
                <w:bCs/>
              </w:rPr>
            </w:pPr>
            <w:r>
              <w:rPr>
                <w:rFonts w:hint="eastAsia" w:asciiTheme="majorEastAsia" w:hAnsiTheme="majorEastAsia" w:eastAsiaTheme="majorEastAsia" w:cstheme="majorEastAsia"/>
                <w:b w:val="0"/>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75"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公共课</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（依据岗位能力素养设置，体现通识性）</w:t>
            </w:r>
          </w:p>
        </w:tc>
        <w:tc>
          <w:tcPr>
            <w:tcW w:w="2586" w:type="dxa"/>
            <w:vAlign w:val="center"/>
          </w:tcPr>
          <w:p>
            <w:pPr>
              <w:tabs>
                <w:tab w:val="left" w:pos="2730"/>
              </w:tabs>
              <w:jc w:val="center"/>
              <w:rPr>
                <w:rFonts w:asciiTheme="majorEastAsia" w:hAnsiTheme="majorEastAsia" w:eastAsiaTheme="majorEastAsia" w:cstheme="majorEastAsia"/>
              </w:rPr>
            </w:pPr>
            <w:r>
              <w:rPr>
                <w:rFonts w:hint="eastAsia" w:asciiTheme="majorEastAsia" w:hAnsiTheme="majorEastAsia" w:eastAsiaTheme="majorEastAsia" w:cstheme="majorEastAsia"/>
              </w:rPr>
              <w:t>中国特色社会主义理论与实践研究</w:t>
            </w:r>
          </w:p>
          <w:p>
            <w:pPr>
              <w:tabs>
                <w:tab w:val="left" w:pos="2730"/>
              </w:tabs>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自然辩证法概论</w:t>
            </w:r>
          </w:p>
          <w:p>
            <w:pPr>
              <w:tabs>
                <w:tab w:val="left" w:pos="2730"/>
              </w:tabs>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硕士生英语（</w:t>
            </w:r>
            <w:r>
              <w:rPr>
                <w:rFonts w:hint="eastAsia" w:ascii="宋体" w:hAnsi="宋体" w:eastAsia="宋体" w:cs="宋体"/>
              </w:rPr>
              <w:t>Ⅰ、Ⅱ</w:t>
            </w:r>
            <w:r>
              <w:rPr>
                <w:rFonts w:hint="eastAsia" w:asciiTheme="majorEastAsia" w:hAnsiTheme="majorEastAsia" w:eastAsiaTheme="majorEastAsia" w:cstheme="majorEastAsia"/>
              </w:rPr>
              <w:t>）</w:t>
            </w:r>
          </w:p>
        </w:tc>
        <w:tc>
          <w:tcPr>
            <w:tcW w:w="3854"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政治思想素质、获取知识的能力、科学思维能力</w:t>
            </w:r>
          </w:p>
        </w:tc>
        <w:tc>
          <w:tcPr>
            <w:tcW w:w="832"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75" w:type="dxa"/>
            <w:vMerge w:val="restart"/>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专业基础课（依据专业核心能力设置，体现基础性）</w:t>
            </w: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病理生理学</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药物治疗学</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获取知识的能力、临床实践能力、科学思维能力</w:t>
            </w:r>
          </w:p>
        </w:tc>
        <w:tc>
          <w:tcPr>
            <w:tcW w:w="832" w:type="dxa"/>
            <w:vMerge w:val="restart"/>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75" w:type="dxa"/>
            <w:vMerge w:val="continue"/>
            <w:vAlign w:val="center"/>
          </w:tcPr>
          <w:p>
            <w:pPr>
              <w:spacing w:line="360" w:lineRule="auto"/>
              <w:jc w:val="center"/>
              <w:rPr>
                <w:rFonts w:asciiTheme="majorEastAsia" w:hAnsiTheme="majorEastAsia" w:eastAsiaTheme="majorEastAsia" w:cstheme="majorEastAsia"/>
              </w:rPr>
            </w:pP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高级健康评估</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获取知识的能力、临床实践能力、沟通交流能力、科学思维能力、临床教学能力</w:t>
            </w:r>
          </w:p>
        </w:tc>
        <w:tc>
          <w:tcPr>
            <w:tcW w:w="832" w:type="dxa"/>
            <w:vMerge w:val="continue"/>
            <w:vAlign w:val="center"/>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75" w:type="dxa"/>
            <w:vMerge w:val="continue"/>
            <w:vAlign w:val="center"/>
          </w:tcPr>
          <w:p>
            <w:pPr>
              <w:spacing w:line="360" w:lineRule="auto"/>
              <w:jc w:val="center"/>
              <w:rPr>
                <w:rFonts w:asciiTheme="majorEastAsia" w:hAnsiTheme="majorEastAsia" w:eastAsiaTheme="majorEastAsia" w:cstheme="majorEastAsia"/>
              </w:rPr>
            </w:pP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临床流行病学</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循证护理</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护理科研方法与论文写作（含医学统计学）</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获取知识的能力、科学思维及临床研究能力</w:t>
            </w:r>
          </w:p>
        </w:tc>
        <w:tc>
          <w:tcPr>
            <w:tcW w:w="832" w:type="dxa"/>
            <w:vMerge w:val="continue"/>
            <w:vAlign w:val="center"/>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675" w:type="dxa"/>
            <w:vMerge w:val="continue"/>
            <w:vAlign w:val="center"/>
          </w:tcPr>
          <w:p>
            <w:pPr>
              <w:spacing w:line="360" w:lineRule="auto"/>
              <w:jc w:val="center"/>
              <w:rPr>
                <w:rFonts w:asciiTheme="majorEastAsia" w:hAnsiTheme="majorEastAsia" w:eastAsiaTheme="majorEastAsia" w:cstheme="majorEastAsia"/>
              </w:rPr>
            </w:pP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人文护理学</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政治思想素质、沟通交流能力、科学思维及临床研究能力、临床管理与协调能力</w:t>
            </w:r>
          </w:p>
        </w:tc>
        <w:tc>
          <w:tcPr>
            <w:tcW w:w="832" w:type="dxa"/>
            <w:vMerge w:val="continue"/>
            <w:vAlign w:val="center"/>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75"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专业课</w:t>
            </w:r>
          </w:p>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（依据专业核心能力设置，体现综合性）</w:t>
            </w: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高级护理实践</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循证护理能力训练</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临床实践能力、沟通交流能力、科学思维及临床研究能力、临床教学能力</w:t>
            </w:r>
          </w:p>
        </w:tc>
        <w:tc>
          <w:tcPr>
            <w:tcW w:w="832"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75"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专业选修课</w:t>
            </w:r>
          </w:p>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（依据具体培养方向设置，体现个性化）</w:t>
            </w: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危重症监测与护理</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急救护理学</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健康管理</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精神科护理</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老年护理理论与实践</w:t>
            </w:r>
          </w:p>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心理护理理论与实践</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获取知识的能力、临床实践能力、科学思维及临床研究能力</w:t>
            </w:r>
          </w:p>
        </w:tc>
        <w:tc>
          <w:tcPr>
            <w:tcW w:w="832"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任选</w:t>
            </w:r>
          </w:p>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75"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公共选修课（学校统一开设的公共课）</w:t>
            </w: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培养综合素质能力，拓宽知识面，增强社会的竞争能力</w:t>
            </w:r>
          </w:p>
        </w:tc>
        <w:tc>
          <w:tcPr>
            <w:tcW w:w="832"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75"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实践教学</w:t>
            </w:r>
          </w:p>
        </w:tc>
        <w:tc>
          <w:tcPr>
            <w:tcW w:w="2586" w:type="dxa"/>
            <w:vAlign w:val="center"/>
          </w:tcPr>
          <w:p>
            <w:pPr>
              <w:tabs>
                <w:tab w:val="left" w:pos="2730"/>
              </w:tabs>
              <w:spacing w:line="360" w:lineRule="auto"/>
              <w:ind w:firstLine="216" w:firstLineChars="103"/>
              <w:jc w:val="center"/>
              <w:rPr>
                <w:rFonts w:asciiTheme="majorEastAsia" w:hAnsiTheme="majorEastAsia" w:eastAsiaTheme="majorEastAsia" w:cstheme="majorEastAsia"/>
              </w:rPr>
            </w:pPr>
            <w:r>
              <w:rPr>
                <w:rFonts w:hint="eastAsia" w:asciiTheme="majorEastAsia" w:hAnsiTheme="majorEastAsia" w:eastAsiaTheme="majorEastAsia" w:cstheme="majorEastAsia"/>
              </w:rPr>
              <w:t>10周护理基础实践和准入考核、循证护理能力实践，20个月专科护理实践</w:t>
            </w:r>
          </w:p>
        </w:tc>
        <w:tc>
          <w:tcPr>
            <w:tcW w:w="3854" w:type="dxa"/>
            <w:vAlign w:val="center"/>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政治思想素质、获取知识的能力、临床实践能力、沟通交流能力、科学思维及临床研究能力、临床管理与协调能力、临床教学能力</w:t>
            </w:r>
          </w:p>
        </w:tc>
        <w:tc>
          <w:tcPr>
            <w:tcW w:w="832" w:type="dxa"/>
            <w:vAlign w:val="center"/>
          </w:tcPr>
          <w:p>
            <w:pPr>
              <w:spacing w:line="360" w:lineRule="auto"/>
              <w:jc w:val="center"/>
              <w:rPr>
                <w:rFonts w:asciiTheme="majorEastAsia" w:hAnsiTheme="majorEastAsia" w:eastAsiaTheme="majorEastAsia" w:cstheme="majorEastAsia"/>
                <w:highlight w:val="yellow"/>
              </w:rPr>
            </w:pPr>
            <w:r>
              <w:rPr>
                <w:rFonts w:hint="eastAsia" w:asciiTheme="majorEastAsia" w:hAnsiTheme="majorEastAsia" w:eastAsiaTheme="majorEastAsia" w:cstheme="majorEastAsia"/>
              </w:rPr>
              <w:t>10</w:t>
            </w:r>
          </w:p>
        </w:tc>
      </w:tr>
    </w:tbl>
    <w:p>
      <w:pPr>
        <w:pStyle w:val="2"/>
        <w:spacing w:line="360" w:lineRule="auto"/>
        <w:ind w:firstLine="0" w:firstLineChars="0"/>
        <w:jc w:val="both"/>
        <w:rPr>
          <w:rFonts w:asciiTheme="majorEastAsia" w:hAnsiTheme="majorEastAsia" w:eastAsiaTheme="majorEastAsia" w:cstheme="majorEastAsia"/>
          <w:lang w:eastAsia="zh-CN"/>
        </w:rPr>
      </w:pPr>
    </w:p>
    <w:p>
      <w:pPr>
        <w:pStyle w:val="2"/>
        <w:spacing w:line="360" w:lineRule="auto"/>
        <w:ind w:firstLine="560" w:firstLineChars="200"/>
        <w:jc w:val="both"/>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为提高研究生培养质量，基于国家护理硕士专业学位研究生核心课程建设要求，本年度重点关注研究生课程教学。依托医学教育教师成长中心，开展培训讲座，帮助教师提升教学能力，优化教学设计，完善线上/线下教学资源，指导教师建立教学预案，尽可能减轻疫情对教学的不利影响。校院两级督导听课，帮助教师发现教学存在的问题，并提出针对性建议，另外通过课前教学资料检查、教学中期检查、学生评教等常规，规范研究生教学活动，切实提高研究生教学质量。同时，充分利用现代信息技术和智能模拟人，开展情景模拟教学法，培养学生基于临床案例情景提升发现问题并解决问题能力，以及沟通交流能力、团队协作能力与评判性思维能力。</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4"/>
          <w:sz w:val="28"/>
          <w:szCs w:val="28"/>
        </w:rPr>
        <w:t>4</w:t>
      </w:r>
      <w:r>
        <w:rPr>
          <w:rFonts w:hint="eastAsia" w:asciiTheme="majorEastAsia" w:hAnsiTheme="majorEastAsia" w:eastAsiaTheme="majorEastAsia" w:cstheme="majorEastAsia"/>
          <w:spacing w:val="48"/>
          <w:sz w:val="28"/>
          <w:szCs w:val="28"/>
        </w:rPr>
        <w:t xml:space="preserve"> </w:t>
      </w:r>
      <w:r>
        <w:rPr>
          <w:rFonts w:hint="eastAsia" w:asciiTheme="majorEastAsia" w:hAnsiTheme="majorEastAsia" w:eastAsiaTheme="majorEastAsia" w:cstheme="majorEastAsia"/>
          <w:b/>
          <w:bCs/>
          <w:spacing w:val="14"/>
          <w:sz w:val="28"/>
          <w:szCs w:val="28"/>
        </w:rPr>
        <w:t>导师指导</w:t>
      </w:r>
    </w:p>
    <w:p>
      <w:pPr>
        <w:spacing w:line="360" w:lineRule="auto"/>
        <w:ind w:firstLine="62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15"/>
          <w:sz w:val="28"/>
          <w:szCs w:val="28"/>
        </w:rPr>
        <w:t>贯彻落实研究生教育会议精神，深入贯彻落实《研究生导师指导</w:t>
      </w:r>
      <w:r>
        <w:rPr>
          <w:rFonts w:hint="eastAsia" w:asciiTheme="majorEastAsia" w:hAnsiTheme="majorEastAsia" w:eastAsiaTheme="majorEastAsia" w:cstheme="majorEastAsia"/>
          <w:spacing w:val="8"/>
          <w:sz w:val="28"/>
          <w:szCs w:val="28"/>
        </w:rPr>
        <w:t>行为准则》</w:t>
      </w:r>
      <w:r>
        <w:rPr>
          <w:rFonts w:hint="eastAsia" w:asciiTheme="majorEastAsia" w:hAnsiTheme="majorEastAsia" w:eastAsiaTheme="majorEastAsia" w:cstheme="majorEastAsia"/>
          <w:spacing w:val="7"/>
          <w:sz w:val="28"/>
          <w:szCs w:val="28"/>
        </w:rPr>
        <w:t>《关</w:t>
      </w:r>
      <w:r>
        <w:rPr>
          <w:rFonts w:hint="eastAsia" w:asciiTheme="majorEastAsia" w:hAnsiTheme="majorEastAsia" w:eastAsiaTheme="majorEastAsia" w:cstheme="majorEastAsia"/>
          <w:spacing w:val="15"/>
          <w:sz w:val="28"/>
          <w:szCs w:val="28"/>
        </w:rPr>
        <w:t>于加快新时代研究生教育改革发展的意见》等精神，加强研究生导师</w:t>
      </w:r>
      <w:r>
        <w:rPr>
          <w:rFonts w:hint="eastAsia" w:asciiTheme="majorEastAsia" w:hAnsiTheme="majorEastAsia" w:eastAsiaTheme="majorEastAsia" w:cstheme="majorEastAsia"/>
          <w:spacing w:val="14"/>
          <w:sz w:val="28"/>
          <w:szCs w:val="28"/>
        </w:rPr>
        <w:t>管理，提升指导能力，并择优选拔新的导师。2021年度新增聘护理硕士专业学位研究生导师6人，并开展新增导师岗前培训，明确导师的职责，提高导师的育人能力和指导能力，另外举行研究生指导经验分享会，由经验丰富的导师给新导师分享指导经验。同时，举办各类导师培训，提高全体导师的业务能力，也鼓励导师外出交流学习，不断更新指导理念。护理硕士专业学位研究生采取校内导师和临床导师</w:t>
      </w:r>
      <w:r>
        <w:rPr>
          <w:rFonts w:hint="eastAsia" w:asciiTheme="majorEastAsia" w:hAnsiTheme="majorEastAsia" w:eastAsiaTheme="majorEastAsia" w:cstheme="majorEastAsia"/>
          <w:sz w:val="28"/>
          <w:szCs w:val="28"/>
        </w:rPr>
        <w:t xml:space="preserve">“双导师”联合指导培养的方式，导师组对研究生全面负责，分工协作，包括政治思想、专业水平及科研能力的培养，保证临床实践、开题报告及论文撰写等各环节的质量。课程学习、科研能力的培养主要由校内导师承担、临床导师协助完成，校内导师为第一负责人；专业能力的培养由临床导师和实习科室的带教老师共同完成，临床导师为第一负责人。 </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3"/>
          <w:sz w:val="28"/>
          <w:szCs w:val="28"/>
        </w:rPr>
        <w:t>5</w:t>
      </w:r>
      <w:r>
        <w:rPr>
          <w:rFonts w:hint="eastAsia" w:asciiTheme="majorEastAsia" w:hAnsiTheme="majorEastAsia" w:eastAsiaTheme="majorEastAsia" w:cstheme="majorEastAsia"/>
          <w:spacing w:val="46"/>
          <w:sz w:val="28"/>
          <w:szCs w:val="28"/>
        </w:rPr>
        <w:t xml:space="preserve"> </w:t>
      </w:r>
      <w:r>
        <w:rPr>
          <w:rFonts w:hint="eastAsia" w:asciiTheme="majorEastAsia" w:hAnsiTheme="majorEastAsia" w:eastAsiaTheme="majorEastAsia" w:cstheme="majorEastAsia"/>
          <w:b/>
          <w:bCs/>
          <w:spacing w:val="13"/>
          <w:sz w:val="28"/>
          <w:szCs w:val="28"/>
        </w:rPr>
        <w:t>实践教学</w:t>
      </w:r>
    </w:p>
    <w:p>
      <w:pPr>
        <w:autoSpaceDE/>
        <w:autoSpaceDN/>
        <w:spacing w:line="360" w:lineRule="auto"/>
        <w:ind w:firstLine="560" w:firstLineChars="200"/>
        <w:jc w:val="both"/>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依据国家《护理硕士专业学位基本要求》中关于实践训练的相关要求，学院制定并不断修改完善护理专硕实践教学计划，编制研究生培养手册，并对各个实践环节构建实践考核标准；不断探索和论证护理硕士专业学位的实践教育最佳实践时间、实践内容以及考核标准。实践训练内容以培养研究生专业实践能力及科学思维为重点，以解决临床实际问题为核心，将临床实践与科研创新能力训练有机结合。专业实践第一阶段为护理基础实践能力训练和准入考核、循证护理能力训练，时间为10周，安排在第二学期初；第二阶段为专科护理能力训练，时间为20个月，安排在第二学期6月初至第五学期1月底。要求在攻读专科相关科室实践8个月，专科方向实践12个月，轮转科室不少于3个。根据学生临床工作经历、自身意愿和导师意见，安排不同的轮转科室与时间，充分体现个性化的培养。临床轮转期间，在科室带教老师指导下，管理床位3-5张，并按要求主持护理查房、小讲课、读书报告等活动。</w:t>
      </w:r>
    </w:p>
    <w:p>
      <w:pPr>
        <w:autoSpaceDE/>
        <w:autoSpaceDN/>
        <w:spacing w:line="360" w:lineRule="auto"/>
        <w:ind w:firstLine="56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根据专业特点，建立了以专业能力考核评价为重点的实践环节考核评价体系，有效保证研究生培养质量。实践环节考核包括：准入考核、过程考核、中期考核、终末考核。准入考核在完成理论课程学习后，需进行护理基础实践能力训练考核，考核合格方可进入专业实践，均在见习临床学院完成考核；过程考核在每个轮转科室出科前，依据《护理硕士专业学位研究生临床轮转考核表》评定；中期考核和终末考核均在学院OSCE中心完成多站式的临床案例考核，中期考核考试内容为临床病例综合护理能力考核，终末考核考试内容为临床病例专科护理能力，分专科方向进行考核，考核合格方可进入学位论文答辩阶段。本年度实践能力考核通过率100%。</w:t>
      </w:r>
    </w:p>
    <w:p>
      <w:pPr>
        <w:spacing w:line="360" w:lineRule="auto"/>
        <w:jc w:val="both"/>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b/>
          <w:bCs/>
          <w:color w:val="auto"/>
          <w:spacing w:val="11"/>
          <w:sz w:val="28"/>
          <w:szCs w:val="28"/>
        </w:rPr>
        <w:t>6</w:t>
      </w:r>
      <w:r>
        <w:rPr>
          <w:rFonts w:hint="eastAsia" w:asciiTheme="majorEastAsia" w:hAnsiTheme="majorEastAsia" w:eastAsiaTheme="majorEastAsia" w:cstheme="majorEastAsia"/>
          <w:color w:val="auto"/>
          <w:spacing w:val="51"/>
          <w:sz w:val="28"/>
          <w:szCs w:val="28"/>
        </w:rPr>
        <w:t xml:space="preserve"> </w:t>
      </w:r>
      <w:r>
        <w:rPr>
          <w:rFonts w:hint="eastAsia" w:asciiTheme="majorEastAsia" w:hAnsiTheme="majorEastAsia" w:eastAsiaTheme="majorEastAsia" w:cstheme="majorEastAsia"/>
          <w:b/>
          <w:bCs/>
          <w:color w:val="auto"/>
          <w:spacing w:val="11"/>
          <w:sz w:val="28"/>
          <w:szCs w:val="28"/>
        </w:rPr>
        <w:t>学术交流</w:t>
      </w:r>
    </w:p>
    <w:p>
      <w:pPr>
        <w:numPr>
          <w:ilvl w:val="0"/>
          <w:numId w:val="3"/>
        </w:numPr>
        <w:autoSpaceDE/>
        <w:autoSpaceDN/>
        <w:spacing w:line="360" w:lineRule="auto"/>
        <w:jc w:val="both"/>
        <w:rPr>
          <w:rFonts w:asciiTheme="majorEastAsia" w:hAnsiTheme="majorEastAsia" w:eastAsiaTheme="majorEastAsia" w:cstheme="majorEastAsia"/>
          <w:spacing w:val="31"/>
          <w:sz w:val="28"/>
          <w:szCs w:val="28"/>
        </w:rPr>
      </w:pPr>
      <w:r>
        <w:rPr>
          <w:rFonts w:hint="eastAsia" w:asciiTheme="majorEastAsia" w:hAnsiTheme="majorEastAsia" w:eastAsiaTheme="majorEastAsia" w:cstheme="majorEastAsia"/>
          <w:spacing w:val="31"/>
          <w:sz w:val="28"/>
          <w:szCs w:val="28"/>
        </w:rPr>
        <w:t>导师团队学术交流</w:t>
      </w:r>
    </w:p>
    <w:p>
      <w:pPr>
        <w:autoSpaceDE/>
        <w:autoSpaceDN/>
        <w:spacing w:line="360" w:lineRule="auto"/>
        <w:ind w:firstLine="684"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31"/>
          <w:sz w:val="28"/>
          <w:szCs w:val="28"/>
        </w:rPr>
        <w:t>研究生通过导师团队参与相关科学研究，如每周进行导</w:t>
      </w:r>
      <w:r>
        <w:rPr>
          <w:rFonts w:hint="eastAsia" w:asciiTheme="majorEastAsia" w:hAnsiTheme="majorEastAsia" w:eastAsiaTheme="majorEastAsia" w:cstheme="majorEastAsia"/>
          <w:spacing w:val="20"/>
          <w:sz w:val="28"/>
          <w:szCs w:val="28"/>
        </w:rPr>
        <w:t>师组会、或文献汇报、或研究进展汇报等。学位点不定期举办学术讲座</w:t>
      </w:r>
      <w:r>
        <w:rPr>
          <w:rFonts w:hint="eastAsia" w:asciiTheme="majorEastAsia" w:hAnsiTheme="majorEastAsia" w:eastAsiaTheme="majorEastAsia" w:cstheme="majorEastAsia"/>
          <w:spacing w:val="23"/>
          <w:sz w:val="28"/>
          <w:szCs w:val="28"/>
        </w:rPr>
        <w:t>及交流活动拓宽研究生学术视野，培养研究生的学术敏感性，如长三角国际护理创新发展论坛会议议程</w:t>
      </w:r>
      <w:bookmarkStart w:id="0" w:name="_Hlk150435127"/>
      <w:r>
        <w:rPr>
          <w:rFonts w:hint="eastAsia" w:asciiTheme="majorEastAsia" w:hAnsiTheme="majorEastAsia" w:eastAsiaTheme="majorEastAsia" w:cstheme="majorEastAsia"/>
          <w:spacing w:val="23"/>
          <w:sz w:val="28"/>
          <w:szCs w:val="28"/>
        </w:rPr>
        <w:t>、</w:t>
      </w:r>
      <w:bookmarkEnd w:id="0"/>
      <w:r>
        <w:rPr>
          <w:rFonts w:hint="eastAsia" w:asciiTheme="majorEastAsia" w:hAnsiTheme="majorEastAsia" w:eastAsiaTheme="majorEastAsia" w:cstheme="majorEastAsia"/>
          <w:spacing w:val="23"/>
          <w:sz w:val="28"/>
          <w:szCs w:val="28"/>
        </w:rPr>
        <w:t>微创技术在乳腺外科的使用、泛血管医学发展与展望、</w:t>
      </w:r>
      <w:r>
        <w:rPr>
          <w:rFonts w:asciiTheme="majorEastAsia" w:hAnsiTheme="majorEastAsia" w:eastAsiaTheme="majorEastAsia" w:cstheme="majorEastAsia"/>
          <w:spacing w:val="23"/>
          <w:sz w:val="28"/>
          <w:szCs w:val="28"/>
        </w:rPr>
        <w:t>2021</w:t>
      </w:r>
      <w:r>
        <w:rPr>
          <w:rFonts w:hint="eastAsia" w:asciiTheme="majorEastAsia" w:hAnsiTheme="majorEastAsia" w:eastAsiaTheme="majorEastAsia" w:cstheme="majorEastAsia"/>
          <w:spacing w:val="23"/>
          <w:sz w:val="28"/>
          <w:szCs w:val="28"/>
        </w:rPr>
        <w:t>年全国护理科研论文写作能力提升培训会等</w:t>
      </w:r>
      <w:r>
        <w:rPr>
          <w:rFonts w:hint="eastAsia" w:asciiTheme="majorEastAsia" w:hAnsiTheme="majorEastAsia" w:eastAsiaTheme="majorEastAsia" w:cstheme="majorEastAsia"/>
          <w:spacing w:val="15"/>
          <w:sz w:val="28"/>
          <w:szCs w:val="28"/>
        </w:rPr>
        <w:t>。每年举办护理研究生学术</w:t>
      </w:r>
      <w:r>
        <w:rPr>
          <w:rFonts w:hint="eastAsia" w:asciiTheme="majorEastAsia" w:hAnsiTheme="majorEastAsia" w:eastAsiaTheme="majorEastAsia" w:cstheme="majorEastAsia"/>
          <w:spacing w:val="17"/>
          <w:sz w:val="28"/>
          <w:szCs w:val="28"/>
        </w:rPr>
        <w:t>沙龙活动，培养研究生的学术表达能力。</w:t>
      </w:r>
    </w:p>
    <w:p>
      <w:pPr>
        <w:spacing w:line="360" w:lineRule="auto"/>
        <w:jc w:val="both"/>
        <w:rPr>
          <w:rFonts w:asciiTheme="majorEastAsia" w:hAnsiTheme="majorEastAsia" w:eastAsiaTheme="majorEastAsia" w:cstheme="majorEastAsia"/>
          <w:spacing w:val="25"/>
          <w:sz w:val="28"/>
          <w:szCs w:val="28"/>
        </w:rPr>
      </w:pPr>
      <w:r>
        <w:rPr>
          <w:rFonts w:hint="eastAsia" w:asciiTheme="majorEastAsia" w:hAnsiTheme="majorEastAsia" w:eastAsiaTheme="majorEastAsia" w:cstheme="majorEastAsia"/>
          <w:spacing w:val="25"/>
          <w:sz w:val="28"/>
          <w:szCs w:val="28"/>
        </w:rPr>
        <w:t>（2）参加各级学术会议</w:t>
      </w:r>
    </w:p>
    <w:p>
      <w:pPr>
        <w:spacing w:line="360" w:lineRule="auto"/>
        <w:ind w:firstLine="660" w:firstLineChars="200"/>
        <w:jc w:val="both"/>
        <w:rPr>
          <w:rFonts w:asciiTheme="majorEastAsia" w:hAnsiTheme="majorEastAsia" w:eastAsiaTheme="majorEastAsia" w:cstheme="majorEastAsia"/>
          <w:spacing w:val="8"/>
          <w:sz w:val="28"/>
          <w:szCs w:val="28"/>
        </w:rPr>
      </w:pPr>
      <w:r>
        <w:rPr>
          <w:rFonts w:hint="eastAsia" w:asciiTheme="majorEastAsia" w:hAnsiTheme="majorEastAsia" w:eastAsiaTheme="majorEastAsia" w:cstheme="majorEastAsia"/>
          <w:spacing w:val="25"/>
          <w:sz w:val="28"/>
          <w:szCs w:val="28"/>
        </w:rPr>
        <w:t>支持研究生积极参与学校及实习基地举办的各级学术交流</w:t>
      </w:r>
      <w:r>
        <w:rPr>
          <w:rFonts w:hint="eastAsia" w:asciiTheme="majorEastAsia" w:hAnsiTheme="majorEastAsia" w:eastAsiaTheme="majorEastAsia" w:cstheme="majorEastAsia"/>
          <w:spacing w:val="8"/>
          <w:sz w:val="28"/>
          <w:szCs w:val="28"/>
        </w:rPr>
        <w:t>会议，以及外出参加国内外学术交流与培训</w:t>
      </w:r>
      <w:r>
        <w:rPr>
          <w:rFonts w:hint="eastAsia" w:asciiTheme="majorEastAsia" w:hAnsiTheme="majorEastAsia" w:eastAsiaTheme="majorEastAsia" w:cstheme="majorEastAsia"/>
          <w:spacing w:val="26"/>
          <w:sz w:val="28"/>
          <w:szCs w:val="28"/>
        </w:rPr>
        <w:t>(线上/线下)</w:t>
      </w:r>
      <w:r>
        <w:rPr>
          <w:rFonts w:hint="eastAsia" w:asciiTheme="majorEastAsia" w:hAnsiTheme="majorEastAsia" w:eastAsiaTheme="majorEastAsia" w:cstheme="majorEastAsia"/>
          <w:spacing w:val="8"/>
          <w:sz w:val="28"/>
          <w:szCs w:val="28"/>
        </w:rPr>
        <w:t>，本年度研究生参会达100余人次，如第五届国际护理学术会议、中华护理学会第十一届护理学术会议、第六届国际护理学术会议</w:t>
      </w:r>
      <w:bookmarkStart w:id="1" w:name="_Hlk150435051"/>
      <w:r>
        <w:rPr>
          <w:rFonts w:hint="eastAsia" w:asciiTheme="majorEastAsia" w:hAnsiTheme="majorEastAsia" w:eastAsiaTheme="majorEastAsia" w:cstheme="majorEastAsia"/>
          <w:spacing w:val="8"/>
          <w:sz w:val="28"/>
          <w:szCs w:val="28"/>
        </w:rPr>
        <w:t>、</w:t>
      </w:r>
      <w:bookmarkEnd w:id="1"/>
      <w:r>
        <w:rPr>
          <w:rFonts w:hint="eastAsia" w:asciiTheme="majorEastAsia" w:hAnsiTheme="majorEastAsia" w:eastAsiaTheme="majorEastAsia" w:cstheme="majorEastAsia"/>
          <w:spacing w:val="8"/>
          <w:sz w:val="28"/>
          <w:szCs w:val="28"/>
        </w:rPr>
        <w:t>亚洲护理论坛、2021数字精神医学与儿童青少年心理健康——国际精神医学高峰对话、2021年中澳肿瘤护理双边学术会议、长三角国际护理创新发展论坛会议议程、中华护理学学术年会、CMB中国护理网研究生论坛。其中本年度研究生外出学习交流中获“中行杯”第十三届浙江省大学生职业生涯规划大赛三等奖1项，CMB中国护理网研究生论坛口头汇报优胜奖1项，CMB中国护理网研究生论坛海报评选二等奖1项。</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1"/>
          <w:sz w:val="28"/>
          <w:szCs w:val="28"/>
        </w:rPr>
        <w:t>7</w:t>
      </w:r>
      <w:r>
        <w:rPr>
          <w:rFonts w:hint="eastAsia" w:asciiTheme="majorEastAsia" w:hAnsiTheme="majorEastAsia" w:eastAsiaTheme="majorEastAsia" w:cstheme="majorEastAsia"/>
          <w:spacing w:val="56"/>
          <w:sz w:val="28"/>
          <w:szCs w:val="28"/>
        </w:rPr>
        <w:t xml:space="preserve"> </w:t>
      </w:r>
      <w:r>
        <w:rPr>
          <w:rFonts w:hint="eastAsia" w:asciiTheme="majorEastAsia" w:hAnsiTheme="majorEastAsia" w:eastAsiaTheme="majorEastAsia" w:cstheme="majorEastAsia"/>
          <w:b/>
          <w:bCs/>
          <w:spacing w:val="11"/>
          <w:sz w:val="28"/>
          <w:szCs w:val="28"/>
        </w:rPr>
        <w:t>论文质量</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学院严格规范“学位论文”制度，建立临床护理科研质量控制体系。在论文选题上，要求必须来源于临床实际并围绕专业方向，与培养临床护理决策能力紧密结合；论文形式包括调查研究性论文、实验研究性论文、个案研究与循证护理专案等；学院组织开题、中期检查、预答辩和毕业答辩，开题时间在第三学期，专家小组就课题的创新性、科学性、可行性、实用性等方面进行评议，同时提出改进意见。未通过者需重新开题。第四学期，组织学位论文中期考核，检查课题进展情况，及时发现并解决研究过程中可能出现的问题。</w:t>
      </w:r>
      <w:r>
        <w:rPr>
          <w:rFonts w:hint="eastAsia" w:asciiTheme="majorEastAsia" w:hAnsiTheme="majorEastAsia" w:eastAsiaTheme="majorEastAsia" w:cstheme="majorEastAsia"/>
          <w:spacing w:val="24"/>
          <w:sz w:val="28"/>
          <w:szCs w:val="28"/>
        </w:rPr>
        <w:t>2021年度共完成护理学专业学位论文91篇，课题来源有国</w:t>
      </w:r>
      <w:r>
        <w:rPr>
          <w:rFonts w:hint="eastAsia" w:asciiTheme="majorEastAsia" w:hAnsiTheme="majorEastAsia" w:eastAsiaTheme="majorEastAsia" w:cstheme="majorEastAsia"/>
          <w:spacing w:val="16"/>
          <w:sz w:val="28"/>
          <w:szCs w:val="28"/>
        </w:rPr>
        <w:t>自然科学基金、省自然科学基金、省教育厅科研项目、省大学生科技创新活动计划暨新苗人才计划项目、</w:t>
      </w:r>
      <w:r>
        <w:rPr>
          <w:rFonts w:hint="eastAsia" w:asciiTheme="majorEastAsia" w:hAnsiTheme="majorEastAsia" w:eastAsiaTheme="majorEastAsia" w:cstheme="majorEastAsia"/>
          <w:spacing w:val="20"/>
          <w:sz w:val="28"/>
          <w:szCs w:val="28"/>
        </w:rPr>
        <w:t>校研究生科研创新项目等。</w:t>
      </w:r>
      <w:r>
        <w:rPr>
          <w:rFonts w:hint="eastAsia" w:asciiTheme="majorEastAsia" w:hAnsiTheme="majorEastAsia" w:eastAsiaTheme="majorEastAsia" w:cstheme="majorEastAsia"/>
          <w:spacing w:val="16"/>
          <w:sz w:val="28"/>
          <w:szCs w:val="28"/>
        </w:rPr>
        <w:t>依据《湖州师范学院研究生学位论文规范要求》撰写论</w:t>
      </w:r>
      <w:r>
        <w:rPr>
          <w:rFonts w:hint="eastAsia" w:asciiTheme="majorEastAsia" w:hAnsiTheme="majorEastAsia" w:eastAsiaTheme="majorEastAsia" w:cstheme="majorEastAsia"/>
          <w:spacing w:val="20"/>
          <w:sz w:val="28"/>
          <w:szCs w:val="28"/>
        </w:rPr>
        <w:t>文，选题论证合理、写作规范，均大于2万字，工作量饱满，体现学生良</w:t>
      </w:r>
      <w:r>
        <w:rPr>
          <w:rFonts w:hint="eastAsia" w:asciiTheme="majorEastAsia" w:hAnsiTheme="majorEastAsia" w:eastAsiaTheme="majorEastAsia" w:cstheme="majorEastAsia"/>
          <w:spacing w:val="17"/>
          <w:sz w:val="28"/>
          <w:szCs w:val="28"/>
        </w:rPr>
        <w:t>好专业知识与科研能力。</w:t>
      </w:r>
    </w:p>
    <w:p>
      <w:pPr>
        <w:autoSpaceDE/>
        <w:autoSpaceDN/>
        <w:spacing w:line="360" w:lineRule="auto"/>
        <w:ind w:firstLine="560" w:firstLineChars="200"/>
        <w:jc w:val="both"/>
        <w:rPr>
          <w:rFonts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sz w:val="28"/>
          <w:szCs w:val="28"/>
        </w:rPr>
        <w:t>学位论文必须经过论文重复率检测，</w:t>
      </w:r>
      <w:r>
        <w:rPr>
          <w:rFonts w:hint="eastAsia" w:asciiTheme="majorEastAsia" w:hAnsiTheme="majorEastAsia" w:eastAsiaTheme="majorEastAsia" w:cstheme="majorEastAsia"/>
          <w:spacing w:val="16"/>
          <w:sz w:val="28"/>
          <w:szCs w:val="28"/>
        </w:rPr>
        <w:t>意识形态审查，</w:t>
      </w:r>
      <w:r>
        <w:rPr>
          <w:rFonts w:hint="eastAsia" w:asciiTheme="majorEastAsia" w:hAnsiTheme="majorEastAsia" w:eastAsiaTheme="majorEastAsia" w:cstheme="majorEastAsia"/>
          <w:bCs/>
          <w:sz w:val="28"/>
          <w:szCs w:val="28"/>
        </w:rPr>
        <w:t>检测合格后方可送审。本年度无论文抄袭情况，重复率检测均符合规定要求。学位论文实行全员盲审，盲审统一由研究生院外送三位专家，并严格执行保密制度。如果有两位外审专家给出“不同意答辩”意见，则不能参加本次答辩。学校制定了研究生学位论文答辩实施细则，答辩委员会主席必须由外单位知名专家担任，对毕业论文严格把关。</w:t>
      </w:r>
      <w:r>
        <w:rPr>
          <w:rFonts w:hint="eastAsia" w:asciiTheme="majorEastAsia" w:hAnsiTheme="majorEastAsia" w:eastAsiaTheme="majorEastAsia" w:cstheme="majorEastAsia"/>
          <w:color w:val="000000" w:themeColor="text1"/>
          <w:spacing w:val="30"/>
          <w:sz w:val="28"/>
          <w:szCs w:val="28"/>
          <w14:textFill>
            <w14:solidFill>
              <w14:schemeClr w14:val="tx1"/>
            </w14:solidFill>
          </w14:textFill>
        </w:rPr>
        <w:t>2021年度论文盲审评阅通过率达100%,</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省学位办论文抽检</w:t>
      </w:r>
      <w:r>
        <w:rPr>
          <w:rFonts w:hint="eastAsia" w:asciiTheme="majorEastAsia" w:hAnsiTheme="majorEastAsia" w:eastAsiaTheme="majorEastAsia" w:cstheme="majorEastAsia"/>
          <w:color w:val="000000" w:themeColor="text1"/>
          <w:spacing w:val="26"/>
          <w:sz w:val="28"/>
          <w:szCs w:val="28"/>
          <w14:textFill>
            <w14:solidFill>
              <w14:schemeClr w14:val="tx1"/>
            </w14:solidFill>
          </w14:textFill>
        </w:rPr>
        <w:t>合格率为100%</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1"/>
          <w:sz w:val="28"/>
          <w:szCs w:val="28"/>
        </w:rPr>
        <w:t>8</w:t>
      </w:r>
      <w:r>
        <w:rPr>
          <w:rFonts w:hint="eastAsia" w:asciiTheme="majorEastAsia" w:hAnsiTheme="majorEastAsia" w:eastAsiaTheme="majorEastAsia" w:cstheme="majorEastAsia"/>
          <w:spacing w:val="80"/>
          <w:sz w:val="28"/>
          <w:szCs w:val="28"/>
        </w:rPr>
        <w:t xml:space="preserve"> </w:t>
      </w:r>
      <w:r>
        <w:rPr>
          <w:rFonts w:hint="eastAsia" w:asciiTheme="majorEastAsia" w:hAnsiTheme="majorEastAsia" w:eastAsiaTheme="majorEastAsia" w:cstheme="majorEastAsia"/>
          <w:b/>
          <w:bCs/>
          <w:spacing w:val="11"/>
          <w:sz w:val="28"/>
          <w:szCs w:val="28"/>
        </w:rPr>
        <w:t>质量保证</w:t>
      </w:r>
    </w:p>
    <w:p>
      <w:pPr>
        <w:spacing w:line="360" w:lineRule="auto"/>
        <w:jc w:val="both"/>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（1） 教学监控体系</w:t>
      </w:r>
    </w:p>
    <w:p>
      <w:pPr>
        <w:spacing w:line="360" w:lineRule="auto"/>
        <w:jc w:val="both"/>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Cs/>
          <w:sz w:val="28"/>
          <w:szCs w:val="28"/>
        </w:rPr>
        <w:t>制定《研究生教学督导工作制度》，明确督导的目的及工作职责，依据培养方案，主要对课堂教学、临床实践、学位论文等关键环节进行督查，有效保障各环节的教学质量，本年度研究生督导听课</w:t>
      </w:r>
      <w:r>
        <w:rPr>
          <w:rFonts w:asciiTheme="majorEastAsia" w:hAnsiTheme="majorEastAsia" w:eastAsiaTheme="majorEastAsia" w:cstheme="majorEastAsia"/>
          <w:bCs/>
          <w:sz w:val="28"/>
          <w:szCs w:val="28"/>
        </w:rPr>
        <w:t>10</w:t>
      </w:r>
      <w:r>
        <w:rPr>
          <w:rFonts w:hint="eastAsia" w:asciiTheme="majorEastAsia" w:hAnsiTheme="majorEastAsia" w:eastAsiaTheme="majorEastAsia" w:cstheme="majorEastAsia"/>
          <w:bCs/>
          <w:sz w:val="28"/>
          <w:szCs w:val="28"/>
        </w:rPr>
        <w:t>余门，基本涵盖了研究生所有专业课程。不断完善信息反馈系统，建立包括常规教学检查和专项教学检查的长效机制，及时了解师生、实践基地对各教学环节的反映和评价，为持续改进提供依据。校领导对研究生培养工作高度重视，校长坚持听研究生第一课，师生深受鼓舞。</w:t>
      </w:r>
    </w:p>
    <w:p>
      <w:pPr>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（2）质量管理体系</w:t>
      </w:r>
    </w:p>
    <w:p>
      <w:pPr>
        <w:spacing w:line="360" w:lineRule="auto"/>
        <w:ind w:firstLine="560" w:firstLineChars="200"/>
        <w:jc w:val="both"/>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通过召开“护理硕士专业学位研究生培养项目建设指导委员会”会议，对培养方案修订、课程设置等工作提供指导。校院两级学术委员会与教学委员会加强对培养方案和课程教学等工作的审核。根据专业特点，从思想品德、课程、专业能力、科研能力等方面进行全面考核或评价，尤其注重专业能力的考核评价，建立了准入考核、过程考核、中期考核、终末考核等各实践环节的考核评价体系，有效保证各环节的培养质量。加强学风建设，从制度保障到具体监管以营造良好的学习氛围，涉及学术规范、诚信教育、医德医风等方面。</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11"/>
          <w:sz w:val="28"/>
          <w:szCs w:val="28"/>
        </w:rPr>
        <w:t>9</w:t>
      </w:r>
      <w:r>
        <w:rPr>
          <w:rFonts w:hint="eastAsia" w:asciiTheme="majorEastAsia" w:hAnsiTheme="majorEastAsia" w:eastAsiaTheme="majorEastAsia" w:cstheme="majorEastAsia"/>
          <w:spacing w:val="91"/>
          <w:sz w:val="28"/>
          <w:szCs w:val="28"/>
        </w:rPr>
        <w:t xml:space="preserve"> </w:t>
      </w:r>
      <w:r>
        <w:rPr>
          <w:rFonts w:hint="eastAsia" w:asciiTheme="majorEastAsia" w:hAnsiTheme="majorEastAsia" w:eastAsiaTheme="majorEastAsia" w:cstheme="majorEastAsia"/>
          <w:b/>
          <w:bCs/>
          <w:spacing w:val="11"/>
          <w:sz w:val="28"/>
          <w:szCs w:val="28"/>
        </w:rPr>
        <w:t>学风建设</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学风是学校办学思想、人才培养质量和管理水平的重要标志，是学生思想品质、学习态度和综合素质的重要体现，也是学生思想政治教育和校园精神文明建设及高校校风的重要组成部分。学院历来重视学风建设，为构建学风建设的长效机制，营造良好的学习氛围，专门制定了学风建设实施方案、“三风”建设实施细则等相关政策，建立健全管理队伍，结合护理专业特色开展校园文化活动，取得了一定成效。</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一是建立健全机组机构，组建工作队伍。建立学校统筹、学院统抓，以院研究生会、护理研究生党务中心为核心，以任课老师、班主任、导师、实习带教老师为助力，以专职辅导员、学位点秘书为连接点的研究生德育考核工作队伍。了解研究生的学习、科研、生活、心理等各情况，关注研究生思想动态，加强研究生党支部建设，有计划开展研究生思想政治教育和政治理论学习，积极组织校园文体活动、社会实践及志愿服务。</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二是开展学术道德和规范教育，坚守诚信底线。学校印发《全面履行研究生导师指导行为准则的实施细则》等文件，教师将学术道德规范教育作为课程思政教学内容，引导学生明确本学科的学术要求和规范，坚守学术诚信底线，维护科学精神和学术尊严。近五年，未出现学术不端行为处理。持续开展护理职业道德和医学伦理教育，加强护理职业操守和行业规范教育。</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三是营造护理特色文化氛围，促进护理职业修养。建设“湖师院医家人”“医心向党”等微信公众号，宣扬“南丁格尔奖”获得者的事迹、护理学科发展和优秀校友故事，展示医学生的风采和情怀。举办护理技能竞赛、南丁格尔演讲比赛等专业活动，促进学生将医德规范、护理文化精神根植于心的职业修养。每学年开学初邀请思政教育专家、临床护理专家、医学教育和学术科研专家等开展专题讲座。</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四是积极开展护理专业相关社会实践活动，锤炼护士职业道德素养。组织研究生开展社区和养老院志愿服务活动、三下乡暑期社会实践、校内外健康宣传志愿者活动、爱心医疗义诊服务等，将护生职业道德的修养与社会实践紧密结合，提升学生社会服务意识与能力。</w:t>
      </w:r>
    </w:p>
    <w:p>
      <w:pPr>
        <w:pStyle w:val="7"/>
        <w:shd w:val="clear" w:color="auto" w:fill="FFFFFF"/>
        <w:tabs>
          <w:tab w:val="left" w:pos="389"/>
        </w:tabs>
        <w:spacing w:beforeAutospacing="0" w:afterAutospacing="0" w:line="360" w:lineRule="auto"/>
        <w:ind w:firstLine="560" w:firstLineChars="200"/>
        <w:jc w:val="both"/>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kern w:val="2"/>
          <w:sz w:val="28"/>
          <w:szCs w:val="28"/>
        </w:rPr>
        <w:t>在学院良好学风氛围引导下，研究生积极参与各级各类比赛及学术活动。2021年，立项湖州师范学院“互联网+”大学生创新创业大赛暨浙江省“互联网+”大学生创新创业大赛13项、“明达杯”大学生课外学术科技作品1项能体现我校重视研究生综合素质培养的学风建设成果。</w:t>
      </w:r>
    </w:p>
    <w:p>
      <w:pPr>
        <w:spacing w:line="360" w:lineRule="auto"/>
        <w:jc w:val="both"/>
        <w:rPr>
          <w:rFonts w:asciiTheme="majorEastAsia" w:hAnsiTheme="majorEastAsia" w:eastAsiaTheme="majorEastAsia" w:cstheme="majorEastAsia"/>
          <w:b/>
          <w:bCs/>
          <w:spacing w:val="5"/>
          <w:sz w:val="28"/>
          <w:szCs w:val="28"/>
        </w:rPr>
      </w:pPr>
      <w:r>
        <w:rPr>
          <w:rFonts w:hint="eastAsia" w:asciiTheme="majorEastAsia" w:hAnsiTheme="majorEastAsia" w:eastAsiaTheme="majorEastAsia" w:cstheme="majorEastAsia"/>
          <w:b/>
          <w:bCs/>
          <w:spacing w:val="5"/>
          <w:sz w:val="28"/>
          <w:szCs w:val="28"/>
        </w:rPr>
        <w:t>10</w:t>
      </w:r>
      <w:r>
        <w:rPr>
          <w:rFonts w:hint="eastAsia" w:asciiTheme="majorEastAsia" w:hAnsiTheme="majorEastAsia" w:eastAsiaTheme="majorEastAsia" w:cstheme="majorEastAsia"/>
          <w:spacing w:val="71"/>
          <w:sz w:val="28"/>
          <w:szCs w:val="28"/>
        </w:rPr>
        <w:t xml:space="preserve"> </w:t>
      </w:r>
      <w:r>
        <w:rPr>
          <w:rFonts w:hint="eastAsia" w:asciiTheme="majorEastAsia" w:hAnsiTheme="majorEastAsia" w:eastAsiaTheme="majorEastAsia" w:cstheme="majorEastAsia"/>
          <w:b/>
          <w:bCs/>
          <w:spacing w:val="5"/>
          <w:sz w:val="28"/>
          <w:szCs w:val="28"/>
        </w:rPr>
        <w:t>管理服务</w:t>
      </w:r>
    </w:p>
    <w:p>
      <w:pPr>
        <w:autoSpaceDE/>
        <w:autoSpaceDN/>
        <w:spacing w:line="360" w:lineRule="auto"/>
        <w:ind w:firstLine="62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15"/>
          <w:sz w:val="28"/>
          <w:szCs w:val="28"/>
        </w:rPr>
        <w:t>护理专业学位硕士研究生教育工作在国务院学位委员会、全国专</w:t>
      </w:r>
      <w:r>
        <w:rPr>
          <w:rFonts w:hint="eastAsia" w:asciiTheme="majorEastAsia" w:hAnsiTheme="majorEastAsia" w:eastAsiaTheme="majorEastAsia" w:cstheme="majorEastAsia"/>
          <w:spacing w:val="17"/>
          <w:sz w:val="28"/>
          <w:szCs w:val="28"/>
        </w:rPr>
        <w:t>业学位教育指导委员会的指导下开展。</w:t>
      </w:r>
      <w:r>
        <w:rPr>
          <w:rFonts w:hint="eastAsia" w:asciiTheme="majorEastAsia" w:hAnsiTheme="majorEastAsia" w:eastAsiaTheme="majorEastAsia" w:cstheme="majorEastAsia"/>
          <w:bCs/>
          <w:sz w:val="28"/>
          <w:szCs w:val="28"/>
        </w:rPr>
        <w:t>设立研究生教育和管理机构，具体见图3。学校建立了</w:t>
      </w:r>
      <w:r>
        <w:rPr>
          <w:rFonts w:hint="eastAsia" w:asciiTheme="majorEastAsia" w:hAnsiTheme="majorEastAsia" w:eastAsiaTheme="majorEastAsia" w:cstheme="majorEastAsia"/>
          <w:bCs/>
          <w:color w:val="auto"/>
          <w:sz w:val="28"/>
          <w:szCs w:val="28"/>
        </w:rPr>
        <w:t>2</w:t>
      </w:r>
      <w:r>
        <w:rPr>
          <w:rFonts w:asciiTheme="majorEastAsia" w:hAnsiTheme="majorEastAsia" w:eastAsiaTheme="majorEastAsia" w:cstheme="majorEastAsia"/>
          <w:bCs/>
          <w:color w:val="auto"/>
          <w:sz w:val="28"/>
          <w:szCs w:val="28"/>
        </w:rPr>
        <w:t>0</w:t>
      </w:r>
      <w:r>
        <w:rPr>
          <w:rFonts w:hint="eastAsia" w:asciiTheme="majorEastAsia" w:hAnsiTheme="majorEastAsia" w:eastAsiaTheme="majorEastAsia" w:cstheme="majorEastAsia"/>
          <w:bCs/>
          <w:color w:val="auto"/>
          <w:sz w:val="28"/>
          <w:szCs w:val="28"/>
        </w:rPr>
        <w:t>余</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项人才培养和管理制度</w:t>
      </w:r>
      <w:r>
        <w:rPr>
          <w:rFonts w:hint="eastAsia" w:asciiTheme="majorEastAsia" w:hAnsiTheme="majorEastAsia" w:eastAsiaTheme="majorEastAsia" w:cstheme="majorEastAsia"/>
          <w:bCs/>
          <w:sz w:val="28"/>
          <w:szCs w:val="28"/>
        </w:rPr>
        <w:t>，学院印制了研究生培养手册、研究生科研活动记录本等培养记录文本，保证研究生培养过程规范有序进行。</w:t>
      </w:r>
    </w:p>
    <w:p>
      <w:pPr>
        <w:pStyle w:val="2"/>
        <w:spacing w:line="360" w:lineRule="auto"/>
        <w:ind w:firstLine="0" w:firstLineChars="0"/>
        <w:jc w:val="center"/>
        <w:rPr>
          <w:rFonts w:hint="eastAsia" w:asciiTheme="majorEastAsia" w:hAnsiTheme="majorEastAsia" w:eastAsiaTheme="majorEastAsia" w:cstheme="majorEastAsia"/>
          <w:b/>
          <w:bCs/>
          <w:color w:val="000000" w:themeColor="text1"/>
          <w:spacing w:val="17"/>
          <w:lang w:eastAsia="zh-CN"/>
          <w14:textFill>
            <w14:solidFill>
              <w14:schemeClr w14:val="tx1"/>
            </w14:solidFill>
          </w14:textFill>
        </w:rPr>
      </w:pPr>
    </w:p>
    <w:p>
      <w:pPr>
        <w:pStyle w:val="2"/>
        <w:spacing w:line="360" w:lineRule="auto"/>
        <w:ind w:firstLine="0" w:firstLineChars="0"/>
        <w:jc w:val="both"/>
        <w:rPr>
          <w:rFonts w:hint="eastAsia" w:asciiTheme="majorEastAsia" w:hAnsiTheme="majorEastAsia" w:eastAsiaTheme="majorEastAsia" w:cstheme="majorEastAsia"/>
          <w:b/>
          <w:bCs/>
          <w:color w:val="000000" w:themeColor="text1"/>
          <w:spacing w:val="17"/>
          <w:lang w:eastAsia="zh-CN"/>
          <w14:textFill>
            <w14:solidFill>
              <w14:schemeClr w14:val="tx1"/>
            </w14:solidFill>
          </w14:textFill>
        </w:rPr>
      </w:pPr>
    </w:p>
    <w:p>
      <w:pPr>
        <w:pStyle w:val="2"/>
        <w:spacing w:line="360" w:lineRule="auto"/>
        <w:ind w:firstLine="0" w:firstLineChars="0"/>
        <w:jc w:val="center"/>
        <w:rPr>
          <w:rFonts w:asciiTheme="majorEastAsia" w:hAnsiTheme="majorEastAsia" w:eastAsiaTheme="majorEastAsia" w:cstheme="majorEastAsia"/>
          <w:b/>
          <w:bCs/>
          <w:color w:val="000000" w:themeColor="text1"/>
          <w:spacing w:val="17"/>
          <w:lang w:eastAsia="zh-CN"/>
          <w14:textFill>
            <w14:solidFill>
              <w14:schemeClr w14:val="tx1"/>
            </w14:solidFill>
          </w14:textFill>
        </w:rPr>
      </w:pPr>
      <w:r>
        <w:rPr>
          <w:rFonts w:hint="eastAsia" w:asciiTheme="majorEastAsia" w:hAnsiTheme="majorEastAsia" w:eastAsiaTheme="majorEastAsia" w:cstheme="majorEastAsia"/>
          <w:bCs/>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97790</wp:posOffset>
                </wp:positionV>
                <wp:extent cx="5142230" cy="2148205"/>
                <wp:effectExtent l="4445" t="4445" r="9525" b="6350"/>
                <wp:wrapTight wrapText="bothSides">
                  <wp:wrapPolygon>
                    <wp:start x="-19" y="-45"/>
                    <wp:lineTo x="-19" y="21536"/>
                    <wp:lineTo x="21587" y="21536"/>
                    <wp:lineTo x="21587" y="-45"/>
                    <wp:lineTo x="-19" y="-45"/>
                  </wp:wrapPolygon>
                </wp:wrapTight>
                <wp:docPr id="52" name="组合 52"/>
                <wp:cNvGraphicFramePr/>
                <a:graphic xmlns:a="http://schemas.openxmlformats.org/drawingml/2006/main">
                  <a:graphicData uri="http://schemas.microsoft.com/office/word/2010/wordprocessingGroup">
                    <wpg:wgp>
                      <wpg:cNvGrpSpPr/>
                      <wpg:grpSpPr>
                        <a:xfrm>
                          <a:off x="0" y="0"/>
                          <a:ext cx="5142230" cy="2148309"/>
                          <a:chOff x="2160" y="11112"/>
                          <a:chExt cx="8106" cy="3400"/>
                        </a:xfrm>
                      </wpg:grpSpPr>
                      <wps:wsp>
                        <wps:cNvPr id="53" name="矩形 18"/>
                        <wps:cNvSpPr>
                          <a:spLocks noChangeAspect="1" noTextEdit="1"/>
                        </wps:cNvSpPr>
                        <wps:spPr>
                          <a:xfrm>
                            <a:off x="2160" y="11112"/>
                            <a:ext cx="8106" cy="3400"/>
                          </a:xfrm>
                          <a:prstGeom prst="rect">
                            <a:avLst/>
                          </a:prstGeom>
                          <a:noFill/>
                          <a:ln w="9525" cap="flat" cmpd="sng">
                            <a:solidFill>
                              <a:srgbClr val="0000FF"/>
                            </a:solidFill>
                            <a:prstDash val="solid"/>
                            <a:miter/>
                            <a:headEnd type="none" w="med" len="med"/>
                            <a:tailEnd type="none" w="med" len="med"/>
                          </a:ln>
                        </wps:spPr>
                        <wps:bodyPr upright="1"/>
                      </wps:wsp>
                      <wps:wsp>
                        <wps:cNvPr id="54" name="肘形连接符 19"/>
                        <wps:cNvCnPr/>
                        <wps:spPr>
                          <a:xfrm rot="5400000" flipH="1">
                            <a:off x="7696" y="10472"/>
                            <a:ext cx="365" cy="3339"/>
                          </a:xfrm>
                          <a:prstGeom prst="bentConnector3">
                            <a:avLst>
                              <a:gd name="adj1" fmla="val 49861"/>
                            </a:avLst>
                          </a:prstGeom>
                          <a:ln w="28575" cap="flat" cmpd="sng">
                            <a:solidFill>
                              <a:srgbClr val="0000FF"/>
                            </a:solidFill>
                            <a:prstDash val="solid"/>
                            <a:miter/>
                            <a:headEnd type="none" w="med" len="med"/>
                            <a:tailEnd type="none" w="med" len="med"/>
                          </a:ln>
                        </wps:spPr>
                        <wps:bodyPr/>
                      </wps:wsp>
                      <wps:wsp>
                        <wps:cNvPr id="55" name="肘形连接符 20"/>
                        <wps:cNvCnPr/>
                        <wps:spPr>
                          <a:xfrm rot="5400000" flipH="1">
                            <a:off x="6860" y="11305"/>
                            <a:ext cx="365" cy="1670"/>
                          </a:xfrm>
                          <a:prstGeom prst="bentConnector3">
                            <a:avLst>
                              <a:gd name="adj1" fmla="val 49861"/>
                            </a:avLst>
                          </a:prstGeom>
                          <a:ln w="28575" cap="flat" cmpd="sng">
                            <a:solidFill>
                              <a:srgbClr val="0000FF"/>
                            </a:solidFill>
                            <a:prstDash val="solid"/>
                            <a:miter/>
                            <a:headEnd type="none" w="med" len="med"/>
                            <a:tailEnd type="none" w="med" len="med"/>
                          </a:ln>
                        </wps:spPr>
                        <wps:bodyPr/>
                      </wps:wsp>
                      <wps:wsp>
                        <wps:cNvPr id="56" name="肘形连接符 21"/>
                        <wps:cNvCnPr/>
                        <wps:spPr>
                          <a:xfrm rot="5400000" flipH="1">
                            <a:off x="6027" y="12141"/>
                            <a:ext cx="365" cy="1"/>
                          </a:xfrm>
                          <a:prstGeom prst="bentConnector3">
                            <a:avLst>
                              <a:gd name="adj1" fmla="val 49861"/>
                            </a:avLst>
                          </a:prstGeom>
                          <a:ln w="28575" cap="flat" cmpd="sng">
                            <a:solidFill>
                              <a:srgbClr val="0000FF"/>
                            </a:solidFill>
                            <a:prstDash val="solid"/>
                            <a:miter/>
                            <a:headEnd type="none" w="med" len="med"/>
                            <a:tailEnd type="none" w="med" len="med"/>
                          </a:ln>
                        </wps:spPr>
                        <wps:bodyPr/>
                      </wps:wsp>
                      <wps:wsp>
                        <wps:cNvPr id="57" name="肘形连接符 22"/>
                        <wps:cNvCnPr/>
                        <wps:spPr>
                          <a:xfrm rot="-5400000">
                            <a:off x="5191" y="11306"/>
                            <a:ext cx="365" cy="1668"/>
                          </a:xfrm>
                          <a:prstGeom prst="bentConnector3">
                            <a:avLst>
                              <a:gd name="adj1" fmla="val 49861"/>
                            </a:avLst>
                          </a:prstGeom>
                          <a:ln w="28575" cap="flat" cmpd="sng">
                            <a:solidFill>
                              <a:srgbClr val="0000FF"/>
                            </a:solidFill>
                            <a:prstDash val="solid"/>
                            <a:miter/>
                            <a:headEnd type="none" w="med" len="med"/>
                            <a:tailEnd type="none" w="med" len="med"/>
                          </a:ln>
                        </wps:spPr>
                        <wps:bodyPr/>
                      </wps:wsp>
                      <wps:wsp>
                        <wps:cNvPr id="58" name="肘形连接符 23"/>
                        <wps:cNvCnPr/>
                        <wps:spPr>
                          <a:xfrm rot="-5400000">
                            <a:off x="4358" y="10473"/>
                            <a:ext cx="365" cy="3337"/>
                          </a:xfrm>
                          <a:prstGeom prst="bentConnector3">
                            <a:avLst>
                              <a:gd name="adj1" fmla="val 49861"/>
                            </a:avLst>
                          </a:prstGeom>
                          <a:ln w="28575" cap="flat" cmpd="sng">
                            <a:solidFill>
                              <a:srgbClr val="0000FF"/>
                            </a:solidFill>
                            <a:prstDash val="solid"/>
                            <a:miter/>
                            <a:headEnd type="none" w="med" len="med"/>
                            <a:tailEnd type="none" w="med" len="med"/>
                          </a:ln>
                        </wps:spPr>
                        <wps:bodyPr/>
                      </wps:wsp>
                      <wps:wsp>
                        <wps:cNvPr id="59" name="圆角矩形 24"/>
                        <wps:cNvSpPr/>
                        <wps:spPr>
                          <a:xfrm>
                            <a:off x="5497" y="11112"/>
                            <a:ext cx="1431" cy="851"/>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学校</w:t>
                              </w:r>
                            </w:p>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研究生培养</w:t>
                              </w:r>
                            </w:p>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工作领导小组</w:t>
                              </w:r>
                            </w:p>
                          </w:txbxContent>
                        </wps:txbx>
                        <wps:bodyPr lIns="0" tIns="0" rIns="0" bIns="0" anchor="ctr" anchorCtr="0" upright="1"/>
                      </wps:wsp>
                      <wps:wsp>
                        <wps:cNvPr id="60" name="圆角矩形 25"/>
                        <wps:cNvSpPr/>
                        <wps:spPr>
                          <a:xfrm>
                            <a:off x="2160" y="12328"/>
                            <a:ext cx="1431" cy="851"/>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研究生处</w:t>
                              </w:r>
                            </w:p>
                          </w:txbxContent>
                        </wps:txbx>
                        <wps:bodyPr lIns="0" tIns="0" rIns="0" bIns="0" anchor="ctr" anchorCtr="0" upright="1"/>
                      </wps:wsp>
                      <wps:wsp>
                        <wps:cNvPr id="61" name="圆角矩形 26"/>
                        <wps:cNvSpPr/>
                        <wps:spPr>
                          <a:xfrm>
                            <a:off x="3829" y="12328"/>
                            <a:ext cx="1431" cy="851"/>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研究生工作部</w:t>
                              </w:r>
                            </w:p>
                          </w:txbxContent>
                        </wps:txbx>
                        <wps:bodyPr lIns="0" tIns="0" rIns="0" bIns="0" anchor="ctr" anchorCtr="0" upright="1"/>
                      </wps:wsp>
                      <wps:wsp>
                        <wps:cNvPr id="62" name="圆角矩形 27"/>
                        <wps:cNvSpPr/>
                        <wps:spPr>
                          <a:xfrm>
                            <a:off x="5498" y="12328"/>
                            <a:ext cx="1431" cy="851"/>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ascii="黑体" w:eastAsia="黑体" w:cs="黑体"/>
                                  <w:b/>
                                  <w:bCs/>
                                  <w:sz w:val="20"/>
                                  <w:szCs w:val="34"/>
                                  <w:lang w:val="zh-CN"/>
                                </w:rPr>
                              </w:pPr>
                              <w:r>
                                <w:rPr>
                                  <w:rFonts w:hint="eastAsia" w:ascii="宋体" w:hAnsi="宋体" w:eastAsia="宋体" w:cs="宋体"/>
                                  <w:b w:val="0"/>
                                  <w:bCs w:val="0"/>
                                  <w:sz w:val="21"/>
                                  <w:szCs w:val="21"/>
                                  <w:lang w:val="zh-CN"/>
                                </w:rPr>
                                <w:t>护理学院</w:t>
                              </w:r>
                            </w:p>
                          </w:txbxContent>
                        </wps:txbx>
                        <wps:bodyPr lIns="0" tIns="0" rIns="0" bIns="0" anchor="ctr" anchorCtr="0" upright="1"/>
                      </wps:wsp>
                      <wps:wsp>
                        <wps:cNvPr id="63" name="圆角矩形 28"/>
                        <wps:cNvSpPr/>
                        <wps:spPr>
                          <a:xfrm>
                            <a:off x="7168" y="12328"/>
                            <a:ext cx="1430" cy="848"/>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ascii="黑体" w:eastAsia="黑体" w:cs="黑体"/>
                                  <w:b/>
                                  <w:bCs/>
                                  <w:sz w:val="20"/>
                                  <w:szCs w:val="34"/>
                                  <w:lang w:val="zh-CN"/>
                                </w:rPr>
                              </w:pPr>
                            </w:p>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附属医院</w:t>
                              </w:r>
                            </w:p>
                            <w:p>
                              <w:pPr>
                                <w:spacing w:line="0" w:lineRule="atLeast"/>
                                <w:jc w:val="center"/>
                                <w:rPr>
                                  <w:rFonts w:ascii="黑体" w:eastAsia="黑体" w:cs="黑体"/>
                                  <w:b/>
                                  <w:bCs/>
                                  <w:sz w:val="20"/>
                                  <w:szCs w:val="34"/>
                                  <w:lang w:val="zh-CN"/>
                                </w:rPr>
                              </w:pPr>
                            </w:p>
                          </w:txbxContent>
                        </wps:txbx>
                        <wps:bodyPr lIns="0" tIns="0" rIns="0" bIns="0" anchor="ctr" anchorCtr="0" upright="1"/>
                      </wps:wsp>
                      <wps:wsp>
                        <wps:cNvPr id="64" name="圆角矩形 29"/>
                        <wps:cNvSpPr/>
                        <wps:spPr>
                          <a:xfrm>
                            <a:off x="7044" y="13643"/>
                            <a:ext cx="1431" cy="848"/>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护理系</w:t>
                              </w:r>
                            </w:p>
                          </w:txbxContent>
                        </wps:txbx>
                        <wps:bodyPr lIns="0" tIns="0" rIns="0" bIns="0" anchor="ctr" anchorCtr="0" upright="1"/>
                      </wps:wsp>
                      <wps:wsp>
                        <wps:cNvPr id="65" name="圆角矩形 30"/>
                        <wps:cNvSpPr/>
                        <wps:spPr>
                          <a:xfrm>
                            <a:off x="5424" y="13643"/>
                            <a:ext cx="1423" cy="848"/>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ascii="黑体" w:eastAsia="黑体" w:cs="黑体"/>
                                  <w:b/>
                                  <w:bCs/>
                                  <w:sz w:val="20"/>
                                  <w:szCs w:val="34"/>
                                  <w:lang w:val="zh-CN"/>
                                </w:rPr>
                              </w:pPr>
                              <w:r>
                                <w:rPr>
                                  <w:rFonts w:hint="eastAsia" w:ascii="宋体" w:hAnsi="宋体" w:eastAsia="宋体" w:cs="宋体"/>
                                  <w:b w:val="0"/>
                                  <w:bCs w:val="0"/>
                                  <w:sz w:val="21"/>
                                  <w:szCs w:val="21"/>
                                  <w:lang w:val="zh-CN"/>
                                </w:rPr>
                                <w:t>研究生学工办</w:t>
                              </w:r>
                            </w:p>
                          </w:txbxContent>
                        </wps:txbx>
                        <wps:bodyPr lIns="0" tIns="0" rIns="0" bIns="0" anchor="ctr" anchorCtr="0" upright="1"/>
                      </wps:wsp>
                      <wps:wsp>
                        <wps:cNvPr id="66" name="圆角矩形 31"/>
                        <wps:cNvSpPr/>
                        <wps:spPr>
                          <a:xfrm>
                            <a:off x="3804" y="13646"/>
                            <a:ext cx="1429" cy="848"/>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研究生教学办</w:t>
                              </w:r>
                            </w:p>
                          </w:txbxContent>
                        </wps:txbx>
                        <wps:bodyPr lIns="0" tIns="0" rIns="0" bIns="0" anchor="ctr" anchorCtr="0" upright="1"/>
                      </wps:wsp>
                      <wps:wsp>
                        <wps:cNvPr id="67" name="圆角矩形 32"/>
                        <wps:cNvSpPr/>
                        <wps:spPr>
                          <a:xfrm>
                            <a:off x="8837" y="12328"/>
                            <a:ext cx="1429" cy="851"/>
                          </a:xfrm>
                          <a:prstGeom prst="roundRect">
                            <a:avLst>
                              <a:gd name="adj" fmla="val 16667"/>
                            </a:avLst>
                          </a:prstGeom>
                          <a:solidFill>
                            <a:srgbClr val="C0C0C0"/>
                          </a:solidFill>
                          <a:ln w="9525" cap="flat" cmpd="sng">
                            <a:solidFill>
                              <a:srgbClr val="0000FF"/>
                            </a:solidFill>
                            <a:prstDash val="solid"/>
                            <a:headEnd type="none" w="med" len="med"/>
                            <a:tailEnd type="none" w="med" len="med"/>
                          </a:ln>
                        </wps:spPr>
                        <wps:txbx>
                          <w:txbxContent>
                            <w:p>
                              <w:pPr>
                                <w:spacing w:line="0" w:lineRule="atLeast"/>
                                <w:jc w:val="center"/>
                                <w:rPr>
                                  <w:rFonts w:ascii="黑体" w:eastAsia="黑体" w:cs="黑体"/>
                                  <w:b/>
                                  <w:bCs/>
                                  <w:sz w:val="18"/>
                                  <w:szCs w:val="15"/>
                                  <w:lang w:val="zh-CN"/>
                                </w:rPr>
                              </w:pPr>
                            </w:p>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实践基地</w:t>
                              </w:r>
                            </w:p>
                            <w:p>
                              <w:pPr>
                                <w:spacing w:line="0" w:lineRule="atLeast"/>
                                <w:jc w:val="center"/>
                                <w:rPr>
                                  <w:rFonts w:ascii="黑体" w:eastAsia="黑体" w:cs="黑体"/>
                                  <w:b/>
                                  <w:bCs/>
                                  <w:sz w:val="20"/>
                                  <w:szCs w:val="34"/>
                                  <w:lang w:val="zh-CN"/>
                                </w:rPr>
                              </w:pPr>
                            </w:p>
                          </w:txbxContent>
                        </wps:txbx>
                        <wps:bodyPr lIns="0" tIns="0" rIns="0" bIns="0" anchor="ctr" anchorCtr="0" upright="1"/>
                      </wps:wsp>
                    </wpg:wgp>
                  </a:graphicData>
                </a:graphic>
              </wp:anchor>
            </w:drawing>
          </mc:Choice>
          <mc:Fallback>
            <w:pict>
              <v:group id="_x0000_s1026" o:spid="_x0000_s1026" o:spt="203" style="position:absolute;left:0pt;margin-left:6.35pt;margin-top:7.7pt;height:169.15pt;width:404.9pt;mso-wrap-distance-left:9pt;mso-wrap-distance-right:9pt;z-index:251659264;mso-width-relative:page;mso-height-relative:page;" coordorigin="2160,11112" coordsize="8106,3400" wrapcoords="-19 -45 -19 21536 21587 21536 21587 -45 -19 -45" o:gfxdata="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KLQq9HaAAAACQEAAA8AAAAAAAAAAQAgAAAA&#10;IgAAAGRycy9kb3ducmV2LnhtbFBLAQIUABQAAAAIAIdO4kDTdyZRYAUAAKkpAAAOAAAAAAAAAAEA&#10;IAAAACkBAABkcnMvZTJvRG9jLnhtbFBLBQYAAAAABgAGAFkBAAD7CAAAAAA=&#10;">
                <o:lock v:ext="edit" aspectratio="f"/>
                <v:rect id="矩形 18" o:spid="_x0000_s1026" o:spt="1" style="position:absolute;left:2160;top:11112;height:3400;width:8106;" filled="f" stroked="t" coordsize="21600,21600" o:gfxdata="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rRFm8AAAA&#10;2wAAAA8AAAAAAAAAAQAgAAAAIgAAAGRycy9kb3ducmV2LnhtbFBLAQIUABQAAAAIAIdO4kAzLwWe&#10;OwAAADkAAAAQAAAAAAAAAAEAIAAAAAsBAABkcnMvc2hhcGV4bWwueG1sUEsFBgAAAAAGAAYAWwEA&#10;ALUDAAAAAA==&#10;">
                  <v:fill on="f" focussize="0,0"/>
                  <v:stroke color="#0000FF" joinstyle="miter"/>
                  <v:imagedata o:title=""/>
                  <o:lock v:ext="edit" text="t" aspectratio="t"/>
                </v:rect>
                <v:shape id="肘形连接符 19" o:spid="_x0000_s1026" o:spt="34" type="#_x0000_t34" style="position:absolute;left:7696;top:10472;flip:x;height:3339;width:365;rotation:-5898240f;" filled="f" stroked="t" coordsize="21600,21600" o:gfxdata="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HaVu/&#10;AAAA2wAAAA8AAAAAAAAAAQAgAAAAIgAAAGRycy9kb3ducmV2LnhtbFBLAQIUABQAAAAIAIdO4kAz&#10;LwWeOwAAADkAAAAQAAAAAAAAAAEAIAAAAA4BAABkcnMvc2hhcGV4bWwueG1sUEsFBgAAAAAGAAYA&#10;WwEAALgDAAAAAA==&#10;" adj="10770">
                  <v:fill on="f" focussize="0,0"/>
                  <v:stroke weight="2.25pt" color="#0000FF" joinstyle="miter"/>
                  <v:imagedata o:title=""/>
                  <o:lock v:ext="edit" aspectratio="f"/>
                </v:shape>
                <v:shape id="肘形连接符 20" o:spid="_x0000_s1026" o:spt="34" type="#_x0000_t34" style="position:absolute;left:6860;top:11305;flip:x;height:1670;width:365;rotation:-5898240f;" filled="f" stroked="t" coordsize="21600,21600" o:gfxdata="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LzMC/&#10;AAAA2wAAAA8AAAAAAAAAAQAgAAAAIgAAAGRycy9kb3ducmV2LnhtbFBLAQIUABQAAAAIAIdO4kAz&#10;LwWeOwAAADkAAAAQAAAAAAAAAAEAIAAAAA4BAABkcnMvc2hhcGV4bWwueG1sUEsFBgAAAAAGAAYA&#10;WwEAALgDAAAAAA==&#10;" adj="10770">
                  <v:fill on="f" focussize="0,0"/>
                  <v:stroke weight="2.25pt" color="#0000FF" joinstyle="miter"/>
                  <v:imagedata o:title=""/>
                  <o:lock v:ext="edit" aspectratio="f"/>
                </v:shape>
                <v:shape id="肘形连接符 21" o:spid="_x0000_s1026" o:spt="34" type="#_x0000_t34" style="position:absolute;left:6027;top:12141;flip:x;height:1;width:365;rotation:-5898240f;" filled="f" stroked="t" coordsize="21600,21600" o:gfxdata="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ZUre/&#10;AAAA2wAAAA8AAAAAAAAAAQAgAAAAIgAAAGRycy9kb3ducmV2LnhtbFBLAQIUABQAAAAIAIdO4kAz&#10;LwWeOwAAADkAAAAQAAAAAAAAAAEAIAAAAA4BAABkcnMvc2hhcGV4bWwueG1sUEsFBgAAAAAGAAYA&#10;WwEAALgDAAAAAA==&#10;" adj="10770">
                  <v:fill on="f" focussize="0,0"/>
                  <v:stroke weight="2.25pt" color="#0000FF" joinstyle="miter"/>
                  <v:imagedata o:title=""/>
                  <o:lock v:ext="edit" aspectratio="f"/>
                </v:shape>
                <v:shape id="肘形连接符 22" o:spid="_x0000_s1026" o:spt="34" type="#_x0000_t34" style="position:absolute;left:5191;top:11306;height:1668;width:365;rotation:-5898240f;" filled="f" stroked="t" coordsize="21600,21600" o:gfxdata="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5xRhrgAAADbAAAA&#10;DwAAAAAAAAABACAAAAAiAAAAZHJzL2Rvd25yZXYueG1sUEsBAhQAFAAAAAgAh07iQDMvBZ47AAAA&#10;OQAAABAAAAAAAAAAAQAgAAAABwEAAGRycy9zaGFwZXhtbC54bWxQSwUGAAAAAAYABgBbAQAAsQMA&#10;AAAA&#10;" adj="10770">
                  <v:fill on="f" focussize="0,0"/>
                  <v:stroke weight="2.25pt" color="#0000FF" joinstyle="miter"/>
                  <v:imagedata o:title=""/>
                  <o:lock v:ext="edit" aspectratio="f"/>
                </v:shape>
                <v:shape id="肘形连接符 23" o:spid="_x0000_s1026" o:spt="34" type="#_x0000_t34" style="position:absolute;left:4358;top:10473;height:3337;width:365;rotation:-5898240f;" filled="f" stroked="t" coordsize="21600,21600" o:gfxdata="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gPF9LUAAADbAAAADwAA&#10;AAAAAAABACAAAAAiAAAAZHJzL2Rvd25yZXYueG1sUEsBAhQAFAAAAAgAh07iQDMvBZ47AAAAOQAA&#10;ABAAAAAAAAAAAQAgAAAABAEAAGRycy9zaGFwZXhtbC54bWxQSwUGAAAAAAYABgBbAQAArgMAAAAA&#10;" adj="10770">
                  <v:fill on="f" focussize="0,0"/>
                  <v:stroke weight="2.25pt" color="#0000FF" joinstyle="miter"/>
                  <v:imagedata o:title=""/>
                  <o:lock v:ext="edit" aspectratio="f"/>
                </v:shape>
                <v:roundrect id="圆角矩形 24" o:spid="_x0000_s1026" o:spt="2" style="position:absolute;left:5497;top:11112;height:851;width:1431;v-text-anchor:middle;" fillcolor="#C0C0C0" filled="t" stroked="t" coordsize="21600,21600" arcsize="0.166666666666667" o:gfxdata="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J0JFvQAA&#10;ANsAAAAPAAAAAAAAAAEAIAAAACIAAABkcnMvZG93bnJldi54bWxQSwECFAAUAAAACACHTuJAMy8F&#10;njsAAAA5AAAAEAAAAAAAAAABACAAAAAMAQAAZHJzL3NoYXBleG1sLnhtbFBLBQYAAAAABgAGAFsB&#10;AAC2AwAAAAA=&#10;">
                  <v:fill on="t" focussize="0,0"/>
                  <v:stroke color="#0000FF" joinstyle="round"/>
                  <v:imagedata o:title=""/>
                  <o:lock v:ext="edit" aspectratio="f"/>
                  <v:textbox inset="0mm,0mm,0mm,0mm">
                    <w:txbxContent>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学校</w:t>
                        </w:r>
                      </w:p>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研究生培养</w:t>
                        </w:r>
                      </w:p>
                      <w:p>
                        <w:pPr>
                          <w:spacing w:line="200" w:lineRule="exact"/>
                          <w:jc w:val="center"/>
                          <w:rPr>
                            <w:rFonts w:hint="eastAsia" w:ascii="宋体" w:hAnsi="宋体" w:eastAsia="宋体" w:cs="宋体"/>
                            <w:b/>
                            <w:bCs/>
                            <w:sz w:val="21"/>
                            <w:szCs w:val="21"/>
                            <w:lang w:val="zh-CN"/>
                          </w:rPr>
                        </w:pPr>
                        <w:r>
                          <w:rPr>
                            <w:rFonts w:hint="eastAsia" w:ascii="宋体" w:hAnsi="宋体" w:eastAsia="宋体" w:cs="宋体"/>
                            <w:b/>
                            <w:bCs/>
                            <w:sz w:val="21"/>
                            <w:szCs w:val="21"/>
                            <w:lang w:val="zh-CN"/>
                          </w:rPr>
                          <w:t>工作领导小组</w:t>
                        </w:r>
                      </w:p>
                    </w:txbxContent>
                  </v:textbox>
                </v:roundrect>
                <v:roundrect id="圆角矩形 25" o:spid="_x0000_s1026" o:spt="2" style="position:absolute;left:2160;top:12328;height:851;width:1431;v-text-anchor:middle;" fillcolor="#C0C0C0" filled="t" stroked="t" coordsize="21600,21600" arcsize="0.166666666666667" o:gfxdata="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xIWW8AAAA&#10;2wAAAA8AAAAAAAAAAQAgAAAAIgAAAGRycy9kb3ducmV2LnhtbFBLAQIUABQAAAAIAIdO4kAzLwWe&#10;OwAAADkAAAAQAAAAAAAAAAEAIAAAAAsBAABkcnMvc2hhcGV4bWwueG1sUEsFBgAAAAAGAAYAWwEA&#10;ALUDAAAAAA==&#10;">
                  <v:fill on="t" focussize="0,0"/>
                  <v:stroke color="#0000FF" joinstyle="round"/>
                  <v:imagedata o:title=""/>
                  <o:lock v:ext="edit" aspectratio="f"/>
                  <v:textbox inset="0mm,0mm,0mm,0mm">
                    <w:txbxContent>
                      <w:p>
                        <w:pPr>
                          <w:spacing w:line="0" w:lineRule="atLeas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研究生处</w:t>
                        </w:r>
                      </w:p>
                    </w:txbxContent>
                  </v:textbox>
                </v:roundrect>
                <v:roundrect id="圆角矩形 26" o:spid="_x0000_s1026" o:spt="2" style="position:absolute;left:3829;top:12328;height:851;width:1431;v-text-anchor:middle;" fillcolor="#C0C0C0" filled="t" stroked="t" coordsize="21600,21600" arcsize="0.166666666666667" o:gfxdata="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2E/r4A&#10;AADbAAAADwAAAAAAAAABACAAAAAiAAAAZHJzL2Rvd25yZXYueG1sUEsBAhQAFAAAAAgAh07iQDMv&#10;BZ47AAAAOQAAABAAAAAAAAAAAQAgAAAADQEAAGRycy9zaGFwZXhtbC54bWxQSwUGAAAAAAYABgBb&#10;AQAAtwMAAAAA&#10;">
                  <v:fill on="t" focussize="0,0"/>
                  <v:stroke color="#0000FF" joinstyle="round"/>
                  <v:imagedata o:title=""/>
                  <o:lock v:ext="edit" aspectratio="f"/>
                  <v:textbox inset="0mm,0mm,0mm,0mm">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研究生工作部</w:t>
                        </w:r>
                      </w:p>
                    </w:txbxContent>
                  </v:textbox>
                </v:roundrect>
                <v:roundrect id="圆角矩形 27" o:spid="_x0000_s1026" o:spt="2" style="position:absolute;left:5498;top:12328;height:851;width:1431;v-text-anchor:middle;" fillcolor="#C0C0C0" filled="t" stroked="t" coordsize="21600,21600" arcsize="0.166666666666667" o:gfxdata="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7xqJvQAA&#10;ANsAAAAPAAAAAAAAAAEAIAAAACIAAABkcnMvZG93bnJldi54bWxQSwECFAAUAAAACACHTuJAMy8F&#10;njsAAAA5AAAAEAAAAAAAAAABACAAAAAMAQAAZHJzL3NoYXBleG1sLnhtbFBLBQYAAAAABgAGAFsB&#10;AAC2AwAAAAA=&#10;">
                  <v:fill on="t" focussize="0,0"/>
                  <v:stroke color="#0000FF" joinstyle="round"/>
                  <v:imagedata o:title=""/>
                  <o:lock v:ext="edit" aspectratio="f"/>
                  <v:textbox inset="0mm,0mm,0mm,0mm">
                    <w:txbxContent>
                      <w:p>
                        <w:pPr>
                          <w:spacing w:line="0" w:lineRule="atLeast"/>
                          <w:jc w:val="center"/>
                          <w:rPr>
                            <w:rFonts w:ascii="黑体" w:eastAsia="黑体" w:cs="黑体"/>
                            <w:b/>
                            <w:bCs/>
                            <w:sz w:val="20"/>
                            <w:szCs w:val="34"/>
                            <w:lang w:val="zh-CN"/>
                          </w:rPr>
                        </w:pPr>
                        <w:r>
                          <w:rPr>
                            <w:rFonts w:hint="eastAsia" w:ascii="宋体" w:hAnsi="宋体" w:eastAsia="宋体" w:cs="宋体"/>
                            <w:b w:val="0"/>
                            <w:bCs w:val="0"/>
                            <w:sz w:val="21"/>
                            <w:szCs w:val="21"/>
                            <w:lang w:val="zh-CN"/>
                          </w:rPr>
                          <w:t>护理学院</w:t>
                        </w:r>
                      </w:p>
                    </w:txbxContent>
                  </v:textbox>
                </v:roundrect>
                <v:roundrect id="圆角矩形 28" o:spid="_x0000_s1026" o:spt="2" style="position:absolute;left:7168;top:12328;height:848;width:1430;v-text-anchor:middle;" fillcolor="#C0C0C0" filled="t" stroked="t" coordsize="21600,21600" arcsize="0.166666666666667" o:gfxdata="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O/Er4A&#10;AADbAAAADwAAAAAAAAABACAAAAAiAAAAZHJzL2Rvd25yZXYueG1sUEsBAhQAFAAAAAgAh07iQDMv&#10;BZ47AAAAOQAAABAAAAAAAAAAAQAgAAAADQEAAGRycy9zaGFwZXhtbC54bWxQSwUGAAAAAAYABgBb&#10;AQAAtwMAAAAA&#10;">
                  <v:fill on="t" focussize="0,0"/>
                  <v:stroke color="#0000FF" joinstyle="round"/>
                  <v:imagedata o:title=""/>
                  <o:lock v:ext="edit" aspectratio="f"/>
                  <v:textbox inset="0mm,0mm,0mm,0mm">
                    <w:txbxContent>
                      <w:p>
                        <w:pPr>
                          <w:spacing w:line="0" w:lineRule="atLeast"/>
                          <w:jc w:val="center"/>
                          <w:rPr>
                            <w:rFonts w:ascii="黑体" w:eastAsia="黑体" w:cs="黑体"/>
                            <w:b/>
                            <w:bCs/>
                            <w:sz w:val="20"/>
                            <w:szCs w:val="34"/>
                            <w:lang w:val="zh-CN"/>
                          </w:rPr>
                        </w:pPr>
                      </w:p>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附属医院</w:t>
                        </w:r>
                      </w:p>
                      <w:p>
                        <w:pPr>
                          <w:spacing w:line="0" w:lineRule="atLeast"/>
                          <w:jc w:val="center"/>
                          <w:rPr>
                            <w:rFonts w:ascii="黑体" w:eastAsia="黑体" w:cs="黑体"/>
                            <w:b/>
                            <w:bCs/>
                            <w:sz w:val="20"/>
                            <w:szCs w:val="34"/>
                            <w:lang w:val="zh-CN"/>
                          </w:rPr>
                        </w:pPr>
                      </w:p>
                    </w:txbxContent>
                  </v:textbox>
                </v:roundrect>
                <v:roundrect id="圆角矩形 29" o:spid="_x0000_s1026" o:spt="2" style="position:absolute;left:7044;top:13643;height:848;width:1431;v-text-anchor:middle;" fillcolor="#C0C0C0" filled="t" stroked="t" coordsize="21600,21600" arcsize="0.166666666666667" o:gfxdata="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KJ2a/&#10;AAAA2wAAAA8AAAAAAAAAAQAgAAAAIgAAAGRycy9kb3ducmV2LnhtbFBLAQIUABQAAAAIAIdO4kAz&#10;LwWeOwAAADkAAAAQAAAAAAAAAAEAIAAAAA4BAABkcnMvc2hhcGV4bWwueG1sUEsFBgAAAAAGAAYA&#10;WwEAALgDAAAAAA==&#10;">
                  <v:fill on="t" focussize="0,0"/>
                  <v:stroke color="#0000FF" joinstyle="round"/>
                  <v:imagedata o:title=""/>
                  <o:lock v:ext="edit" aspectratio="f"/>
                  <v:textbox inset="0mm,0mm,0mm,0mm">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护理系</w:t>
                        </w:r>
                      </w:p>
                    </w:txbxContent>
                  </v:textbox>
                </v:roundrect>
                <v:roundrect id="圆角矩形 30" o:spid="_x0000_s1026" o:spt="2" style="position:absolute;left:5424;top:13643;height:848;width:1423;v-text-anchor:middle;" fillcolor="#C0C0C0" filled="t" stroked="t" coordsize="21600,21600" arcsize="0.166666666666667" o:gfxdata="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aC/b4A&#10;AADbAAAADwAAAAAAAAABACAAAAAiAAAAZHJzL2Rvd25yZXYueG1sUEsBAhQAFAAAAAgAh07iQDMv&#10;BZ47AAAAOQAAABAAAAAAAAAAAQAgAAAADQEAAGRycy9zaGFwZXhtbC54bWxQSwUGAAAAAAYABgBb&#10;AQAAtwMAAAAA&#10;">
                  <v:fill on="t" focussize="0,0"/>
                  <v:stroke color="#0000FF" joinstyle="round"/>
                  <v:imagedata o:title=""/>
                  <o:lock v:ext="edit" aspectratio="f"/>
                  <v:textbox inset="0mm,0mm,0mm,0mm">
                    <w:txbxContent>
                      <w:p>
                        <w:pPr>
                          <w:spacing w:line="0" w:lineRule="atLeast"/>
                          <w:jc w:val="center"/>
                          <w:rPr>
                            <w:rFonts w:ascii="黑体" w:eastAsia="黑体" w:cs="黑体"/>
                            <w:b/>
                            <w:bCs/>
                            <w:sz w:val="20"/>
                            <w:szCs w:val="34"/>
                            <w:lang w:val="zh-CN"/>
                          </w:rPr>
                        </w:pPr>
                        <w:r>
                          <w:rPr>
                            <w:rFonts w:hint="eastAsia" w:ascii="宋体" w:hAnsi="宋体" w:eastAsia="宋体" w:cs="宋体"/>
                            <w:b w:val="0"/>
                            <w:bCs w:val="0"/>
                            <w:sz w:val="21"/>
                            <w:szCs w:val="21"/>
                            <w:lang w:val="zh-CN"/>
                          </w:rPr>
                          <w:t>研究生学工办</w:t>
                        </w:r>
                      </w:p>
                    </w:txbxContent>
                  </v:textbox>
                </v:roundrect>
                <v:roundrect id="圆角矩形 31" o:spid="_x0000_s1026" o:spt="2" style="position:absolute;left:3804;top:13646;height:848;width:1429;v-text-anchor:middle;" fillcolor="#C0C0C0" filled="t" stroked="t" coordsize="21600,21600" arcsize="0.166666666666667" o:gfxdata="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UHIq/&#10;AAAA2wAAAA8AAAAAAAAAAQAgAAAAIgAAAGRycy9kb3ducmV2LnhtbFBLAQIUABQAAAAIAIdO4kAz&#10;LwWeOwAAADkAAAAQAAAAAAAAAAEAIAAAAA4BAABkcnMvc2hhcGV4bWwueG1sUEsFBgAAAAAGAAYA&#10;WwEAALgDAAAAAA==&#10;">
                  <v:fill on="t" focussize="0,0"/>
                  <v:stroke color="#0000FF" joinstyle="round"/>
                  <v:imagedata o:title=""/>
                  <o:lock v:ext="edit" aspectratio="f"/>
                  <v:textbox inset="0mm,0mm,0mm,0mm">
                    <w:txbxContent>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研究生教学办</w:t>
                        </w:r>
                      </w:p>
                    </w:txbxContent>
                  </v:textbox>
                </v:roundrect>
                <v:roundrect id="圆角矩形 32" o:spid="_x0000_s1026" o:spt="2" style="position:absolute;left:8837;top:12328;height:851;width:1429;v-text-anchor:middle;" fillcolor="#C0C0C0" filled="t" stroked="t" coordsize="21600,21600" arcsize="0.166666666666667" o:gfxdata="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mLkRvQAA&#10;ANsAAAAPAAAAAAAAAAEAIAAAACIAAABkcnMvZG93bnJldi54bWxQSwECFAAUAAAACACHTuJAMy8F&#10;njsAAAA5AAAAEAAAAAAAAAABACAAAAAMAQAAZHJzL3NoYXBleG1sLnhtbFBLBQYAAAAABgAGAFsB&#10;AAC2AwAAAAA=&#10;">
                  <v:fill on="t" focussize="0,0"/>
                  <v:stroke color="#0000FF" joinstyle="round"/>
                  <v:imagedata o:title=""/>
                  <o:lock v:ext="edit" aspectratio="f"/>
                  <v:textbox inset="0mm,0mm,0mm,0mm">
                    <w:txbxContent>
                      <w:p>
                        <w:pPr>
                          <w:spacing w:line="0" w:lineRule="atLeast"/>
                          <w:jc w:val="center"/>
                          <w:rPr>
                            <w:rFonts w:ascii="黑体" w:eastAsia="黑体" w:cs="黑体"/>
                            <w:b/>
                            <w:bCs/>
                            <w:sz w:val="18"/>
                            <w:szCs w:val="15"/>
                            <w:lang w:val="zh-CN"/>
                          </w:rPr>
                        </w:pPr>
                      </w:p>
                      <w:p>
                        <w:pPr>
                          <w:spacing w:line="0" w:lineRule="atLeast"/>
                          <w:jc w:val="center"/>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实践基地</w:t>
                        </w:r>
                      </w:p>
                      <w:p>
                        <w:pPr>
                          <w:spacing w:line="0" w:lineRule="atLeast"/>
                          <w:jc w:val="center"/>
                          <w:rPr>
                            <w:rFonts w:ascii="黑体" w:eastAsia="黑体" w:cs="黑体"/>
                            <w:b/>
                            <w:bCs/>
                            <w:sz w:val="20"/>
                            <w:szCs w:val="34"/>
                            <w:lang w:val="zh-CN"/>
                          </w:rPr>
                        </w:pPr>
                      </w:p>
                    </w:txbxContent>
                  </v:textbox>
                </v:roundrect>
                <w10:wrap type="tight"/>
              </v:group>
            </w:pict>
          </mc:Fallback>
        </mc:AlternateContent>
      </w:r>
      <w:r>
        <w:rPr>
          <w:rFonts w:hint="eastAsia" w:asciiTheme="majorEastAsia" w:hAnsiTheme="majorEastAsia" w:eastAsiaTheme="majorEastAsia" w:cstheme="majorEastAsia"/>
          <w:b/>
          <w:bCs/>
          <w:color w:val="000000" w:themeColor="text1"/>
          <w:spacing w:val="17"/>
          <w:lang w:eastAsia="zh-CN"/>
          <w14:textFill>
            <w14:solidFill>
              <w14:schemeClr w14:val="tx1"/>
            </w14:solidFill>
          </w14:textFill>
        </w:rPr>
        <w:t>图3 校内研究生教育和管理机构结构图</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6"/>
          <w:sz w:val="28"/>
          <w:szCs w:val="28"/>
        </w:rPr>
        <w:t>11</w:t>
      </w:r>
      <w:r>
        <w:rPr>
          <w:rFonts w:hint="eastAsia" w:asciiTheme="majorEastAsia" w:hAnsiTheme="majorEastAsia" w:eastAsiaTheme="majorEastAsia" w:cstheme="majorEastAsia"/>
          <w:spacing w:val="58"/>
          <w:sz w:val="28"/>
          <w:szCs w:val="28"/>
        </w:rPr>
        <w:t xml:space="preserve"> </w:t>
      </w:r>
      <w:r>
        <w:rPr>
          <w:rFonts w:hint="eastAsia" w:asciiTheme="majorEastAsia" w:hAnsiTheme="majorEastAsia" w:eastAsiaTheme="majorEastAsia" w:cstheme="majorEastAsia"/>
          <w:b/>
          <w:bCs/>
          <w:spacing w:val="6"/>
          <w:sz w:val="28"/>
          <w:szCs w:val="28"/>
        </w:rPr>
        <w:t>就业发展</w:t>
      </w:r>
    </w:p>
    <w:p>
      <w:pPr>
        <w:widowControl w:val="0"/>
        <w:kinsoku/>
        <w:autoSpaceDE/>
        <w:autoSpaceDN/>
        <w:adjustRightInd/>
        <w:snapToGrid/>
        <w:spacing w:line="360" w:lineRule="auto"/>
        <w:ind w:firstLine="560" w:firstLineChars="200"/>
        <w:jc w:val="both"/>
        <w:textAlignment w:val="auto"/>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高校毕业生等青年就业关系民生福祉、经济发展和国家未来。研究生就业由学院研究生工作办公室负责牵头，于毕业学年初先后组织全体应届毕业生召开就业动员会，组织毕业生代表召开座谈会，组织班主任召开就业工作部署会，并带领研究生会就业校友办公室定期向应届毕业生提供就业信息服务，包括：摸排应届毕业生就业意向、统计表毕业生毕业情况落实率、分析和发布制度、开展毕业生发展质量调查及分析、建立毕业生就业状况反馈机制。</w:t>
      </w:r>
    </w:p>
    <w:p>
      <w:pPr>
        <w:widowControl w:val="0"/>
        <w:kinsoku/>
        <w:autoSpaceDE/>
        <w:autoSpaceDN/>
        <w:adjustRightInd/>
        <w:snapToGrid/>
        <w:spacing w:line="360" w:lineRule="auto"/>
        <w:ind w:firstLine="560" w:firstLineChars="200"/>
        <w:jc w:val="both"/>
        <w:textAlignment w:val="auto"/>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一是全院精准排摸，班级重点关注。对于毕业生情况进行跟踪排摸，通过辅导员、班主任的两级跟踪，要求在年级、班级中进行实时跟进和重点关注。了解就业困难学生需求，从而为帮扶措施的制定提供依据。</w:t>
      </w:r>
    </w:p>
    <w:p>
      <w:pPr>
        <w:widowControl w:val="0"/>
        <w:kinsoku/>
        <w:autoSpaceDE/>
        <w:autoSpaceDN/>
        <w:adjustRightInd/>
        <w:snapToGrid/>
        <w:spacing w:line="360" w:lineRule="auto"/>
        <w:ind w:firstLine="560" w:firstLineChars="200"/>
        <w:jc w:val="both"/>
        <w:textAlignment w:val="auto"/>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二是聚焦关注对象，提供针对性帮扶。结合帮困、心理等条线做好各类就业困难学生的帮扶指导工作。针对心理困难学生以及因为就业暂时时存在心理压力的学生，学院及时分享发布常见心理问题及解决办法，分享就业面试技巧及注意事项等；针对经济困难学生，积极配合做好浙江省求职补助工作，对孤儿、残疾和低保的毕业生，提前摸底、做好信息采集，在网上申请、材料收集和审核各环节，为毕业生做好服务和沟通工作。</w:t>
      </w:r>
    </w:p>
    <w:p>
      <w:pPr>
        <w:widowControl w:val="0"/>
        <w:kinsoku/>
        <w:autoSpaceDE/>
        <w:autoSpaceDN/>
        <w:adjustRightInd/>
        <w:snapToGrid/>
        <w:spacing w:line="360" w:lineRule="auto"/>
        <w:ind w:firstLine="560" w:firstLineChars="200"/>
        <w:jc w:val="both"/>
        <w:textAlignment w:val="auto"/>
        <w:rPr>
          <w:rFonts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val="zh-CN"/>
        </w:rPr>
        <w:t>2021年护理专业学位毕业生共91人，毕业去向落实率100%，其中68人就职于医疗单位，占比最高为74.73%；其次为高等教育单位，12人就职，占比13.19%(见表</w:t>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lang w:val="zh-CN"/>
        </w:rPr>
        <w:t>)。</w:t>
      </w:r>
    </w:p>
    <w:p>
      <w:pPr>
        <w:widowControl w:val="0"/>
        <w:kinsoku/>
        <w:autoSpaceDE/>
        <w:autoSpaceDN/>
        <w:adjustRightInd/>
        <w:snapToGrid/>
        <w:spacing w:line="360" w:lineRule="auto"/>
        <w:jc w:val="center"/>
        <w:textAlignment w:val="auto"/>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表7 毕业生签约类型分布</w:t>
      </w:r>
    </w:p>
    <w:tbl>
      <w:tblPr>
        <w:tblStyle w:val="8"/>
        <w:tblW w:w="8149" w:type="dxa"/>
        <w:tblInd w:w="96" w:type="dxa"/>
        <w:tblLayout w:type="autofit"/>
        <w:tblCellMar>
          <w:top w:w="0" w:type="dxa"/>
          <w:left w:w="108" w:type="dxa"/>
          <w:bottom w:w="0" w:type="dxa"/>
          <w:right w:w="108" w:type="dxa"/>
        </w:tblCellMar>
      </w:tblPr>
      <w:tblGrid>
        <w:gridCol w:w="960"/>
        <w:gridCol w:w="984"/>
        <w:gridCol w:w="960"/>
        <w:gridCol w:w="1008"/>
        <w:gridCol w:w="1020"/>
        <w:gridCol w:w="1068"/>
        <w:gridCol w:w="1116"/>
        <w:gridCol w:w="1033"/>
      </w:tblGrid>
      <w:tr>
        <w:tblPrEx>
          <w:tblCellMar>
            <w:top w:w="0" w:type="dxa"/>
            <w:left w:w="108" w:type="dxa"/>
            <w:bottom w:w="0" w:type="dxa"/>
            <w:right w:w="108" w:type="dxa"/>
          </w:tblCellMar>
        </w:tblPrEx>
        <w:trPr>
          <w:trHeight w:val="409"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年度</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党政机关</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高等教育单位</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中初等教育单位</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医疗卫生单位</w:t>
            </w:r>
          </w:p>
        </w:tc>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其他事业单位</w:t>
            </w:r>
          </w:p>
        </w:tc>
        <w:tc>
          <w:tcPr>
            <w:tcW w:w="1116"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其他</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总计</w:t>
            </w:r>
          </w:p>
        </w:tc>
      </w:tr>
      <w:tr>
        <w:tblPrEx>
          <w:tblCellMar>
            <w:top w:w="0" w:type="dxa"/>
            <w:left w:w="108" w:type="dxa"/>
            <w:bottom w:w="0" w:type="dxa"/>
            <w:right w:w="108" w:type="dxa"/>
          </w:tblCellMar>
        </w:tblPrEx>
        <w:trPr>
          <w:trHeight w:val="682"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eastAsia="宋体" w:cs="宋体"/>
                <w:b w:val="0"/>
                <w:bCs w:val="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1116"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val="0"/>
                <w:bCs w:val="0"/>
              </w:rPr>
            </w:pPr>
          </w:p>
        </w:tc>
      </w:tr>
      <w:tr>
        <w:tblPrEx>
          <w:tblCellMar>
            <w:top w:w="0" w:type="dxa"/>
            <w:left w:w="108" w:type="dxa"/>
            <w:bottom w:w="0" w:type="dxa"/>
            <w:right w:w="108" w:type="dxa"/>
          </w:tblCellMar>
        </w:tblPrEx>
        <w:trPr>
          <w:trHeight w:val="40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center"/>
              <w:rPr>
                <w:rFonts w:ascii="宋体" w:hAnsi="宋体" w:eastAsia="宋体" w:cs="宋体"/>
                <w:b w:val="0"/>
                <w:bCs w:val="0"/>
              </w:rPr>
            </w:pPr>
            <w:r>
              <w:rPr>
                <w:rFonts w:hint="eastAsia" w:ascii="宋体" w:hAnsi="宋体" w:eastAsia="宋体" w:cs="宋体"/>
                <w:b w:val="0"/>
                <w:bCs w:val="0"/>
                <w:lang w:bidi="ar"/>
              </w:rPr>
              <w:t>2021</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1</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12</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68</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3</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7</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b w:val="0"/>
                <w:bCs w:val="0"/>
              </w:rPr>
            </w:pPr>
            <w:r>
              <w:rPr>
                <w:rFonts w:hint="eastAsia" w:ascii="宋体" w:hAnsi="宋体" w:eastAsia="宋体" w:cs="宋体"/>
                <w:b w:val="0"/>
                <w:bCs w:val="0"/>
                <w:lang w:bidi="ar"/>
              </w:rPr>
              <w:t>91</w:t>
            </w:r>
          </w:p>
        </w:tc>
      </w:tr>
      <w:tr>
        <w:tblPrEx>
          <w:tblCellMar>
            <w:top w:w="0" w:type="dxa"/>
            <w:left w:w="108" w:type="dxa"/>
            <w:bottom w:w="0" w:type="dxa"/>
            <w:right w:w="108" w:type="dxa"/>
          </w:tblCellMar>
        </w:tblPrEx>
        <w:trPr>
          <w:trHeight w:val="4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eastAsia="宋体" w:cs="宋体"/>
                <w:b/>
                <w:bCs/>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1.10%</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13.19%</w:t>
            </w: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0.00%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74.73%</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3.30%</w:t>
            </w:r>
          </w:p>
        </w:tc>
        <w:tc>
          <w:tcPr>
            <w:tcW w:w="111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7.69%</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rPr>
            </w:pPr>
            <w:r>
              <w:rPr>
                <w:rFonts w:hint="eastAsia" w:ascii="宋体" w:hAnsi="宋体" w:eastAsia="宋体" w:cs="宋体"/>
                <w:lang w:bidi="ar"/>
              </w:rPr>
              <w:t>100.00%</w:t>
            </w:r>
          </w:p>
        </w:tc>
      </w:tr>
    </w:tbl>
    <w:p>
      <w:pPr>
        <w:widowControl w:val="0"/>
        <w:spacing w:line="360" w:lineRule="auto"/>
        <w:jc w:val="both"/>
        <w:rPr>
          <w:rFonts w:asciiTheme="majorEastAsia" w:hAnsiTheme="majorEastAsia" w:eastAsiaTheme="majorEastAsia" w:cstheme="majorEastAsia"/>
        </w:rPr>
      </w:pPr>
    </w:p>
    <w:p>
      <w:pPr>
        <w:widowControl w:val="0"/>
        <w:kinsoku/>
        <w:autoSpaceDE/>
        <w:autoSpaceDN/>
        <w:adjustRightInd/>
        <w:snapToGrid/>
        <w:spacing w:line="360" w:lineRule="auto"/>
        <w:textAlignment w:val="auto"/>
        <w:rPr>
          <w:rFonts w:asciiTheme="majorEastAsia" w:hAnsiTheme="majorEastAsia" w:eastAsiaTheme="majorEastAsia" w:cstheme="majorEastAsia"/>
          <w:b/>
          <w:color w:val="auto"/>
          <w:sz w:val="28"/>
          <w:szCs w:val="28"/>
        </w:rPr>
      </w:pPr>
      <w:r>
        <w:rPr>
          <w:rFonts w:hint="eastAsia" w:asciiTheme="majorEastAsia" w:hAnsiTheme="majorEastAsia" w:eastAsiaTheme="majorEastAsia" w:cstheme="majorEastAsia"/>
          <w:b/>
          <w:color w:val="auto"/>
          <w:sz w:val="28"/>
          <w:szCs w:val="28"/>
        </w:rPr>
        <w:t>(四)服务贡献</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坚持以学生成长为视角，发挥学科优势，在养老服务和社区健康促进等方面开展了一系列社会实践服务。</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一是空巢关爱志愿服务。阳光医疗服务团空巢关爱志愿服务队以老人健康服务为核心，以改善老人生活品质为目标，大力传播“人道·博爱·奉献”的红十字精神，积极发扬“尊老爱老”的中华民族传统美德，学位点先后有250多名志愿者参与，涉及10多个社区，共计为50余位高龄特困老人和特殊老人开展老年健康和心理关怀服务。</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2021年期间以支队为单位，以空巢关爱志愿服务为主题开展各项志愿服务活动。积极开展空巢关爱志愿服务，为空巢老人测血压，量血糖，送去基础医疗服务以及人文关怀；在老师的指导下，组织学生进行每月社区义诊活动；与彩虹公益一起每月举行一次养老院服务活动；进行新队员招新，为志愿服务事业注入新鲜血液；进行队员集中技能培训，加强队员能力，提升支队服务水平；运动会期间与其他社团一起组织并开展赛后推拿，展现支队特色的同时为运动员们送去关怀和服务。</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是无偿献血志愿服务。无偿献血志愿服务支队是阳光医疗服务团成立最早的一支队伍，在校内与校外都积极开展着各项有关无偿献血的活动，积极促进无偿献血公益事业的发展。本支队一直与湖州市献血办，湖州市中心血站有紧密合作。本着“让无偿献血深入人心”的宗旨，一直致力于无偿献血和血液相关知识的宣传与普及，纠正市民错误的献血观念，提高市民无偿献血的积极性让更多的人自发主动地参与无偿献血的活动中。</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2021年，建立湖州师范学院班-院-校三级无偿献血联络员制度。通过建立无偿献血联络员体制，更好的在学校传递无偿献血相关信息，及举办各项无偿献血相关活动，提高相关知识普及程度。</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三是南丁格尔志愿服务。阳光医疗服务团南丁格尔志愿服务队已经在多个医院，如湖州市第一人民医院、湖州市中医院、湖州市第三医院等医院门（急）诊和住院部为患者提供志愿医疗服务，其工作涉及指导患者就医、护送患者做各种化验、检查、缴费、取药、办理入院手术并护送患者到相应科室等一系列细致的内容。</w:t>
      </w:r>
    </w:p>
    <w:p>
      <w:pPr>
        <w:widowControl w:val="0"/>
        <w:kinsoku/>
        <w:autoSpaceDE/>
        <w:autoSpaceDN/>
        <w:adjustRightInd/>
        <w:snapToGrid/>
        <w:spacing w:line="360" w:lineRule="auto"/>
        <w:ind w:firstLine="560" w:firstLineChars="200"/>
        <w:textAlignment w:val="auto"/>
        <w:rPr>
          <w:rFonts w:asciiTheme="majorEastAsia" w:hAnsiTheme="majorEastAsia" w:eastAsiaTheme="majorEastAsia" w:cstheme="majorEastAsia"/>
          <w:color w:val="auto"/>
          <w:kern w:val="2"/>
          <w:sz w:val="28"/>
          <w:szCs w:val="28"/>
        </w:rPr>
      </w:pPr>
      <w:r>
        <w:rPr>
          <w:rFonts w:hint="eastAsia" w:asciiTheme="majorEastAsia" w:hAnsiTheme="majorEastAsia" w:eastAsiaTheme="majorEastAsia" w:cstheme="majorEastAsia"/>
          <w:color w:val="auto"/>
          <w:sz w:val="28"/>
          <w:szCs w:val="28"/>
        </w:rPr>
        <w:t>2021年，为防控疫情，南丁格尔志愿服务队增加了第一医院住院部的行程码、健康码筛查和测量体温的志愿工作。从半天的志愿活动增长为一天，志愿者不喊苦、不喊累，有效地维护了疫情期间的就诊秩序。支队为医院赢得病人信任和树立良好形象做出了重要贡献，其不仅是患者与医院之间沟通的桥梁，更是帮助医生了解患者情况的最好助手。</w:t>
      </w:r>
    </w:p>
    <w:p>
      <w:pPr>
        <w:pStyle w:val="2"/>
        <w:spacing w:line="360" w:lineRule="auto"/>
        <w:ind w:firstLine="0" w:firstLineChars="0"/>
        <w:jc w:val="both"/>
        <w:rPr>
          <w:rFonts w:asciiTheme="majorEastAsia" w:hAnsiTheme="majorEastAsia" w:eastAsiaTheme="majorEastAsia" w:cstheme="majorEastAsia"/>
          <w:lang w:eastAsia="zh-CN"/>
        </w:rPr>
      </w:pPr>
    </w:p>
    <w:p>
      <w:pPr>
        <w:pStyle w:val="2"/>
        <w:spacing w:line="360" w:lineRule="auto"/>
        <w:ind w:firstLine="0" w:firstLineChars="0"/>
        <w:jc w:val="both"/>
        <w:rPr>
          <w:rFonts w:asciiTheme="majorEastAsia" w:hAnsiTheme="majorEastAsia" w:eastAsiaTheme="majorEastAsia" w:cstheme="majorEastAsia"/>
          <w:lang w:eastAsia="zh-CN"/>
        </w:rPr>
      </w:pPr>
    </w:p>
    <w:p>
      <w:pPr>
        <w:pStyle w:val="2"/>
        <w:spacing w:line="360" w:lineRule="auto"/>
        <w:ind w:firstLine="0" w:firstLineChars="0"/>
        <w:jc w:val="both"/>
        <w:rPr>
          <w:rFonts w:asciiTheme="majorEastAsia" w:hAnsiTheme="majorEastAsia" w:eastAsiaTheme="majorEastAsia" w:cstheme="majorEastAsia"/>
          <w:lang w:eastAsia="zh-CN"/>
        </w:rPr>
      </w:pPr>
    </w:p>
    <w:p>
      <w:pPr>
        <w:spacing w:line="360" w:lineRule="auto"/>
        <w:jc w:val="both"/>
        <w:outlineLvl w:val="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9"/>
          <w:sz w:val="28"/>
          <w:szCs w:val="28"/>
          <w:highlight w:val="none"/>
        </w:rPr>
        <w:t>二、自我评估工作开展情况</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23"/>
          <w:sz w:val="28"/>
          <w:szCs w:val="28"/>
        </w:rPr>
        <w:t>（一）成立湖州师范学院、护理学院学位点评估领导小组</w:t>
      </w:r>
    </w:p>
    <w:p>
      <w:pPr>
        <w:spacing w:line="360" w:lineRule="auto"/>
        <w:ind w:firstLine="640" w:firstLineChars="2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20"/>
          <w:sz w:val="28"/>
          <w:szCs w:val="28"/>
        </w:rPr>
        <w:t>学习国务院学位委员会、教育部《关于修订印发&lt;</w:t>
      </w:r>
      <w:r>
        <w:rPr>
          <w:rFonts w:hint="eastAsia" w:asciiTheme="majorEastAsia" w:hAnsiTheme="majorEastAsia" w:eastAsiaTheme="majorEastAsia" w:cstheme="majorEastAsia"/>
          <w:spacing w:val="19"/>
          <w:sz w:val="28"/>
          <w:szCs w:val="28"/>
        </w:rPr>
        <w:t>学位授权点合</w:t>
      </w:r>
      <w:r>
        <w:rPr>
          <w:rFonts w:hint="eastAsia" w:asciiTheme="majorEastAsia" w:hAnsiTheme="majorEastAsia" w:eastAsiaTheme="majorEastAsia" w:cstheme="majorEastAsia"/>
          <w:spacing w:val="18"/>
          <w:sz w:val="28"/>
          <w:szCs w:val="28"/>
        </w:rPr>
        <w:t>格评估办法&gt;的通知》(学位（2020）25号)</w:t>
      </w:r>
      <w:r>
        <w:rPr>
          <w:rFonts w:hint="eastAsia" w:asciiTheme="majorEastAsia" w:hAnsiTheme="majorEastAsia" w:eastAsiaTheme="majorEastAsia" w:cstheme="majorEastAsia"/>
          <w:spacing w:val="17"/>
          <w:sz w:val="28"/>
          <w:szCs w:val="28"/>
        </w:rPr>
        <w:t>和《关于开展2020—</w:t>
      </w:r>
      <w:r>
        <w:rPr>
          <w:rFonts w:hint="eastAsia" w:asciiTheme="majorEastAsia" w:hAnsiTheme="majorEastAsia" w:eastAsiaTheme="majorEastAsia" w:cstheme="majorEastAsia"/>
          <w:spacing w:val="-95"/>
          <w:sz w:val="28"/>
          <w:szCs w:val="28"/>
        </w:rPr>
        <w:t xml:space="preserve"> </w:t>
      </w:r>
      <w:r>
        <w:rPr>
          <w:rFonts w:hint="eastAsia" w:asciiTheme="majorEastAsia" w:hAnsiTheme="majorEastAsia" w:eastAsiaTheme="majorEastAsia" w:cstheme="majorEastAsia"/>
          <w:spacing w:val="17"/>
          <w:sz w:val="28"/>
          <w:szCs w:val="28"/>
        </w:rPr>
        <w:t>2025</w:t>
      </w:r>
      <w:r>
        <w:rPr>
          <w:rFonts w:hint="eastAsia" w:asciiTheme="majorEastAsia" w:hAnsiTheme="majorEastAsia" w:eastAsiaTheme="majorEastAsia" w:cstheme="majorEastAsia"/>
          <w:spacing w:val="11"/>
          <w:sz w:val="28"/>
          <w:szCs w:val="28"/>
        </w:rPr>
        <w:t>年学位授权点周期性合格评估工作的通知》（学位〔2020〕26号）</w:t>
      </w:r>
      <w:r>
        <w:rPr>
          <w:rFonts w:hint="eastAsia" w:asciiTheme="majorEastAsia" w:hAnsiTheme="majorEastAsia" w:eastAsiaTheme="majorEastAsia" w:cstheme="majorEastAsia"/>
          <w:spacing w:val="16"/>
          <w:sz w:val="28"/>
          <w:szCs w:val="28"/>
        </w:rPr>
        <w:t>等文件精神，</w:t>
      </w:r>
      <w:r>
        <w:rPr>
          <w:rFonts w:hint="eastAsia" w:asciiTheme="majorEastAsia" w:hAnsiTheme="majorEastAsia" w:eastAsiaTheme="majorEastAsia" w:cstheme="majorEastAsia"/>
          <w:bCs/>
          <w:sz w:val="28"/>
          <w:szCs w:val="28"/>
        </w:rPr>
        <w:t>成立硕士点专项合格评估工作领导小组，</w:t>
      </w:r>
      <w:r>
        <w:rPr>
          <w:rFonts w:hint="eastAsia" w:asciiTheme="majorEastAsia" w:hAnsiTheme="majorEastAsia" w:eastAsiaTheme="majorEastAsia" w:cstheme="majorEastAsia"/>
          <w:spacing w:val="15"/>
          <w:sz w:val="28"/>
          <w:szCs w:val="28"/>
        </w:rPr>
        <w:t>整体</w:t>
      </w:r>
      <w:r>
        <w:rPr>
          <w:rFonts w:hint="eastAsia" w:asciiTheme="majorEastAsia" w:hAnsiTheme="majorEastAsia" w:eastAsiaTheme="majorEastAsia" w:cstheme="majorEastAsia"/>
          <w:spacing w:val="20"/>
          <w:sz w:val="28"/>
          <w:szCs w:val="28"/>
        </w:rPr>
        <w:t>部署学位授权点评估工作。</w:t>
      </w:r>
      <w:r>
        <w:rPr>
          <w:rFonts w:hint="eastAsia" w:asciiTheme="majorEastAsia" w:hAnsiTheme="majorEastAsia" w:eastAsiaTheme="majorEastAsia" w:cstheme="majorEastAsia"/>
          <w:spacing w:val="16"/>
          <w:sz w:val="28"/>
          <w:szCs w:val="28"/>
        </w:rPr>
        <w:t>并制定《湖州师范</w:t>
      </w:r>
      <w:r>
        <w:rPr>
          <w:rFonts w:hint="eastAsia" w:asciiTheme="majorEastAsia" w:hAnsiTheme="majorEastAsia" w:eastAsiaTheme="majorEastAsia" w:cstheme="majorEastAsia"/>
          <w:spacing w:val="15"/>
          <w:sz w:val="28"/>
          <w:szCs w:val="28"/>
        </w:rPr>
        <w:t>学院学位</w:t>
      </w:r>
      <w:r>
        <w:rPr>
          <w:rFonts w:hint="eastAsia" w:asciiTheme="majorEastAsia" w:hAnsiTheme="majorEastAsia" w:eastAsiaTheme="majorEastAsia" w:cstheme="majorEastAsia"/>
          <w:spacing w:val="19"/>
          <w:sz w:val="28"/>
          <w:szCs w:val="28"/>
        </w:rPr>
        <w:t>授予点评估工作方案》。</w:t>
      </w:r>
    </w:p>
    <w:p>
      <w:pPr>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pacing w:val="24"/>
          <w:sz w:val="28"/>
          <w:szCs w:val="28"/>
        </w:rPr>
        <w:t>（二）成立护理硕士专业学位点自评工作组织机构</w:t>
      </w:r>
    </w:p>
    <w:p>
      <w:pPr>
        <w:spacing w:line="360" w:lineRule="auto"/>
        <w:jc w:val="both"/>
        <w:rPr>
          <w:rFonts w:asciiTheme="majorEastAsia" w:hAnsiTheme="majorEastAsia" w:eastAsiaTheme="majorEastAsia" w:cstheme="majorEastAsia"/>
          <w:spacing w:val="20"/>
          <w:sz w:val="28"/>
          <w:szCs w:val="28"/>
        </w:rPr>
      </w:pPr>
      <w:r>
        <w:rPr>
          <w:rFonts w:hint="eastAsia" w:asciiTheme="majorEastAsia" w:hAnsiTheme="majorEastAsia" w:eastAsiaTheme="majorEastAsia" w:cstheme="majorEastAsia"/>
          <w:spacing w:val="20"/>
          <w:sz w:val="28"/>
          <w:szCs w:val="28"/>
        </w:rPr>
        <w:t>组  长：卢东民、钮富荣</w:t>
      </w:r>
    </w:p>
    <w:p>
      <w:pPr>
        <w:spacing w:line="360" w:lineRule="auto"/>
        <w:jc w:val="both"/>
        <w:rPr>
          <w:rFonts w:asciiTheme="majorEastAsia" w:hAnsiTheme="majorEastAsia" w:eastAsiaTheme="majorEastAsia" w:cstheme="majorEastAsia"/>
          <w:spacing w:val="20"/>
          <w:sz w:val="28"/>
          <w:szCs w:val="28"/>
        </w:rPr>
      </w:pPr>
      <w:r>
        <w:rPr>
          <w:rFonts w:hint="eastAsia" w:asciiTheme="majorEastAsia" w:hAnsiTheme="majorEastAsia" w:eastAsiaTheme="majorEastAsia" w:cstheme="majorEastAsia"/>
          <w:spacing w:val="20"/>
          <w:sz w:val="28"/>
          <w:szCs w:val="28"/>
        </w:rPr>
        <w:t xml:space="preserve">副组长：姚金兰 </w:t>
      </w:r>
    </w:p>
    <w:p>
      <w:pPr>
        <w:spacing w:line="360" w:lineRule="auto"/>
        <w:jc w:val="both"/>
        <w:rPr>
          <w:rFonts w:asciiTheme="majorEastAsia" w:hAnsiTheme="majorEastAsia" w:eastAsiaTheme="majorEastAsia" w:cstheme="majorEastAsia"/>
          <w:spacing w:val="20"/>
          <w:sz w:val="28"/>
          <w:szCs w:val="28"/>
        </w:rPr>
      </w:pPr>
      <w:r>
        <w:rPr>
          <w:rFonts w:hint="eastAsia" w:asciiTheme="majorEastAsia" w:hAnsiTheme="majorEastAsia" w:eastAsiaTheme="majorEastAsia" w:cstheme="majorEastAsia"/>
          <w:spacing w:val="20"/>
          <w:sz w:val="28"/>
          <w:szCs w:val="28"/>
        </w:rPr>
        <w:t>成  员：王丽娜、李莎莎</w:t>
      </w:r>
      <w:bookmarkStart w:id="2" w:name="_Hlk150435752"/>
      <w:r>
        <w:rPr>
          <w:rFonts w:hint="eastAsia" w:asciiTheme="majorEastAsia" w:hAnsiTheme="majorEastAsia" w:eastAsiaTheme="majorEastAsia" w:cstheme="majorEastAsia"/>
          <w:spacing w:val="20"/>
          <w:sz w:val="28"/>
          <w:szCs w:val="28"/>
        </w:rPr>
        <w:t>、</w:t>
      </w:r>
      <w:bookmarkEnd w:id="2"/>
      <w:r>
        <w:rPr>
          <w:rFonts w:hint="eastAsia" w:asciiTheme="majorEastAsia" w:hAnsiTheme="majorEastAsia" w:eastAsiaTheme="majorEastAsia" w:cstheme="majorEastAsia"/>
          <w:spacing w:val="20"/>
          <w:sz w:val="28"/>
          <w:szCs w:val="28"/>
        </w:rPr>
        <w:t>张立秀、李希宁、李战琴、裴彩利 、倪西强</w:t>
      </w:r>
    </w:p>
    <w:p>
      <w:pPr>
        <w:spacing w:line="360" w:lineRule="auto"/>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pacing w:val="25"/>
          <w:sz w:val="28"/>
          <w:szCs w:val="28"/>
        </w:rPr>
        <w:t>（三）护理学专业学位点自评工作计划及实施情况</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22"/>
          <w:sz w:val="28"/>
          <w:szCs w:val="28"/>
        </w:rPr>
        <w:t>1</w:t>
      </w:r>
      <w:r>
        <w:rPr>
          <w:rFonts w:hint="eastAsia" w:asciiTheme="majorEastAsia" w:hAnsiTheme="majorEastAsia" w:eastAsiaTheme="majorEastAsia" w:cstheme="majorEastAsia"/>
          <w:spacing w:val="22"/>
          <w:sz w:val="28"/>
          <w:szCs w:val="28"/>
          <w:lang w:eastAsia="zh-CN"/>
        </w:rPr>
        <w:t>.</w:t>
      </w:r>
      <w:r>
        <w:rPr>
          <w:rFonts w:hint="eastAsia" w:asciiTheme="majorEastAsia" w:hAnsiTheme="majorEastAsia" w:eastAsiaTheme="majorEastAsia" w:cstheme="majorEastAsia"/>
          <w:spacing w:val="22"/>
          <w:sz w:val="28"/>
          <w:szCs w:val="28"/>
        </w:rPr>
        <w:t>202</w:t>
      </w:r>
      <w:r>
        <w:rPr>
          <w:rFonts w:asciiTheme="majorEastAsia" w:hAnsiTheme="majorEastAsia" w:eastAsiaTheme="majorEastAsia" w:cstheme="majorEastAsia"/>
          <w:spacing w:val="22"/>
          <w:sz w:val="28"/>
          <w:szCs w:val="28"/>
        </w:rPr>
        <w:t>1</w:t>
      </w:r>
      <w:r>
        <w:rPr>
          <w:rFonts w:hint="eastAsia" w:asciiTheme="majorEastAsia" w:hAnsiTheme="majorEastAsia" w:eastAsiaTheme="majorEastAsia" w:cstheme="majorEastAsia"/>
          <w:spacing w:val="22"/>
          <w:sz w:val="28"/>
          <w:szCs w:val="28"/>
        </w:rPr>
        <w:t>年11月5日-12月5日学习和领悟国家、学校及学院对“护理硕士专业学位授权点合格评估工作及指标体系”的解读精神。依据学位点授权抽评要素，进行资料整理、归档；撰写自评报告。开展校内自我评估，专家主要针对自评报告中的培养方向、培养特色、导师遴选、核心课程设置及建设、以及服务贡献方面存在的问题提出疑问和建议，学位点根据意见和实际情况酌情修改完善自评报告。</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32"/>
          <w:sz w:val="28"/>
          <w:szCs w:val="28"/>
        </w:rPr>
        <w:t>2</w:t>
      </w:r>
      <w:r>
        <w:rPr>
          <w:rFonts w:hint="eastAsia" w:asciiTheme="majorEastAsia" w:hAnsiTheme="majorEastAsia" w:eastAsiaTheme="majorEastAsia" w:cstheme="majorEastAsia"/>
          <w:spacing w:val="32"/>
          <w:sz w:val="28"/>
          <w:szCs w:val="28"/>
          <w:lang w:eastAsia="zh-CN"/>
        </w:rPr>
        <w:t>.</w:t>
      </w:r>
      <w:r>
        <w:rPr>
          <w:rFonts w:hint="eastAsia" w:asciiTheme="majorEastAsia" w:hAnsiTheme="majorEastAsia" w:eastAsiaTheme="majorEastAsia" w:cstheme="majorEastAsia"/>
          <w:spacing w:val="32"/>
          <w:sz w:val="28"/>
          <w:szCs w:val="28"/>
        </w:rPr>
        <w:t>202</w:t>
      </w:r>
      <w:r>
        <w:rPr>
          <w:rFonts w:hint="eastAsia" w:asciiTheme="majorEastAsia" w:hAnsiTheme="majorEastAsia" w:eastAsiaTheme="majorEastAsia" w:cstheme="majorEastAsia"/>
          <w:spacing w:val="32"/>
          <w:sz w:val="28"/>
          <w:szCs w:val="28"/>
          <w:lang w:val="en-US" w:eastAsia="zh-CN"/>
        </w:rPr>
        <w:t>1</w:t>
      </w:r>
      <w:r>
        <w:rPr>
          <w:rFonts w:hint="eastAsia" w:asciiTheme="majorEastAsia" w:hAnsiTheme="majorEastAsia" w:eastAsiaTheme="majorEastAsia" w:cstheme="majorEastAsia"/>
          <w:spacing w:val="32"/>
          <w:sz w:val="28"/>
          <w:szCs w:val="28"/>
        </w:rPr>
        <w:t>年1</w:t>
      </w:r>
      <w:r>
        <w:rPr>
          <w:rFonts w:hint="eastAsia" w:asciiTheme="majorEastAsia" w:hAnsiTheme="majorEastAsia" w:eastAsiaTheme="majorEastAsia" w:cstheme="majorEastAsia"/>
          <w:spacing w:val="32"/>
          <w:sz w:val="28"/>
          <w:szCs w:val="28"/>
          <w:lang w:val="en-US" w:eastAsia="zh-CN"/>
        </w:rPr>
        <w:t>2</w:t>
      </w:r>
      <w:r>
        <w:rPr>
          <w:rFonts w:hint="eastAsia" w:asciiTheme="majorEastAsia" w:hAnsiTheme="majorEastAsia" w:eastAsiaTheme="majorEastAsia" w:cstheme="majorEastAsia"/>
          <w:spacing w:val="32"/>
          <w:sz w:val="28"/>
          <w:szCs w:val="28"/>
        </w:rPr>
        <w:t>月1</w:t>
      </w:r>
      <w:r>
        <w:rPr>
          <w:rFonts w:hint="eastAsia" w:asciiTheme="majorEastAsia" w:hAnsiTheme="majorEastAsia" w:eastAsiaTheme="majorEastAsia" w:cstheme="majorEastAsia"/>
          <w:spacing w:val="32"/>
          <w:sz w:val="28"/>
          <w:szCs w:val="28"/>
          <w:lang w:val="en-US" w:eastAsia="zh-CN"/>
        </w:rPr>
        <w:t>5</w:t>
      </w:r>
      <w:r>
        <w:rPr>
          <w:rFonts w:hint="eastAsia" w:asciiTheme="majorEastAsia" w:hAnsiTheme="majorEastAsia" w:eastAsiaTheme="majorEastAsia" w:cstheme="majorEastAsia"/>
          <w:spacing w:val="32"/>
          <w:sz w:val="28"/>
          <w:szCs w:val="28"/>
        </w:rPr>
        <w:t>日校外评估，邀请来自浙江大学</w:t>
      </w:r>
      <w:r>
        <w:rPr>
          <w:rFonts w:hint="eastAsia" w:asciiTheme="majorEastAsia" w:hAnsiTheme="majorEastAsia" w:eastAsiaTheme="majorEastAsia" w:cstheme="majorEastAsia"/>
          <w:spacing w:val="30"/>
          <w:sz w:val="28"/>
          <w:szCs w:val="28"/>
        </w:rPr>
        <w:t>的</w:t>
      </w:r>
      <w:r>
        <w:rPr>
          <w:rFonts w:asciiTheme="majorEastAsia" w:hAnsiTheme="majorEastAsia" w:eastAsiaTheme="majorEastAsia" w:cstheme="majorEastAsia"/>
          <w:spacing w:val="30"/>
          <w:sz w:val="28"/>
          <w:szCs w:val="28"/>
        </w:rPr>
        <w:t>5</w:t>
      </w:r>
      <w:r>
        <w:rPr>
          <w:rFonts w:hint="eastAsia" w:asciiTheme="majorEastAsia" w:hAnsiTheme="majorEastAsia" w:eastAsiaTheme="majorEastAsia" w:cstheme="majorEastAsia"/>
          <w:spacing w:val="30"/>
          <w:sz w:val="28"/>
          <w:szCs w:val="28"/>
        </w:rPr>
        <w:t>位专</w:t>
      </w:r>
      <w:r>
        <w:rPr>
          <w:rFonts w:hint="eastAsia" w:asciiTheme="majorEastAsia" w:hAnsiTheme="majorEastAsia" w:eastAsiaTheme="majorEastAsia" w:cstheme="majorEastAsia"/>
          <w:spacing w:val="21"/>
          <w:sz w:val="28"/>
          <w:szCs w:val="28"/>
        </w:rPr>
        <w:t>家评议，具体信息如下：</w:t>
      </w:r>
    </w:p>
    <w:tbl>
      <w:tblPr>
        <w:tblStyle w:val="12"/>
        <w:tblW w:w="8505"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37"/>
        <w:gridCol w:w="2111"/>
        <w:gridCol w:w="1680"/>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80"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b/>
                <w:bCs/>
                <w:spacing w:val="-5"/>
              </w:rPr>
              <w:t>序号</w:t>
            </w:r>
          </w:p>
        </w:tc>
        <w:tc>
          <w:tcPr>
            <w:tcW w:w="1037"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b/>
                <w:bCs/>
                <w:spacing w:val="9"/>
              </w:rPr>
              <w:t>姓名</w:t>
            </w:r>
          </w:p>
        </w:tc>
        <w:tc>
          <w:tcPr>
            <w:tcW w:w="2111"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b/>
                <w:bCs/>
                <w:spacing w:val="-6"/>
              </w:rPr>
              <w:t>单位</w:t>
            </w:r>
          </w:p>
        </w:tc>
        <w:tc>
          <w:tcPr>
            <w:tcW w:w="1680"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b/>
                <w:bCs/>
                <w:spacing w:val="-6"/>
              </w:rPr>
              <w:t>职称</w:t>
            </w:r>
          </w:p>
        </w:tc>
        <w:tc>
          <w:tcPr>
            <w:tcW w:w="2597"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b/>
                <w:bCs/>
                <w:spacing w:val="-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1</w:t>
            </w:r>
          </w:p>
        </w:tc>
        <w:tc>
          <w:tcPr>
            <w:tcW w:w="103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方向明</w:t>
            </w:r>
          </w:p>
        </w:tc>
        <w:tc>
          <w:tcPr>
            <w:tcW w:w="2111"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浙江大学</w:t>
            </w:r>
          </w:p>
        </w:tc>
        <w:tc>
          <w:tcPr>
            <w:tcW w:w="16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教授</w:t>
            </w:r>
          </w:p>
        </w:tc>
        <w:tc>
          <w:tcPr>
            <w:tcW w:w="259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组长</w:t>
            </w:r>
            <w:r>
              <w:rPr>
                <w:rFonts w:hint="eastAsia" w:ascii="宋体" w:hAnsi="宋体" w:eastAsia="宋体" w:cs="宋体"/>
                <w:lang w:eastAsia="zh-CN"/>
              </w:rPr>
              <w:t>，</w:t>
            </w:r>
            <w:r>
              <w:rPr>
                <w:rFonts w:hint="eastAsia" w:ascii="宋体" w:hAnsi="宋体" w:eastAsia="宋体" w:cs="宋体"/>
              </w:rPr>
              <w:t>浙江省医学专业学位</w:t>
            </w:r>
            <w:bookmarkStart w:id="3" w:name="_GoBack"/>
            <w:bookmarkEnd w:id="3"/>
            <w:r>
              <w:rPr>
                <w:rFonts w:hint="eastAsia" w:ascii="宋体" w:hAnsi="宋体" w:eastAsia="宋体" w:cs="宋体"/>
              </w:rPr>
              <w:t>研究生教指委委员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2</w:t>
            </w:r>
          </w:p>
        </w:tc>
        <w:tc>
          <w:tcPr>
            <w:tcW w:w="103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徐</w:t>
            </w:r>
            <w:r>
              <w:rPr>
                <w:rFonts w:hint="eastAsia" w:ascii="宋体" w:hAnsi="宋体" w:eastAsia="宋体" w:cs="宋体"/>
                <w:lang w:val="en-US" w:eastAsia="zh-CN"/>
              </w:rPr>
              <w:t xml:space="preserve">  </w:t>
            </w:r>
            <w:r>
              <w:rPr>
                <w:rFonts w:hint="eastAsia" w:ascii="宋体" w:hAnsi="宋体" w:eastAsia="宋体" w:cs="宋体"/>
              </w:rPr>
              <w:t>骁</w:t>
            </w:r>
          </w:p>
        </w:tc>
        <w:tc>
          <w:tcPr>
            <w:tcW w:w="2111"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浙江大学</w:t>
            </w:r>
          </w:p>
        </w:tc>
        <w:tc>
          <w:tcPr>
            <w:tcW w:w="16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教授</w:t>
            </w:r>
          </w:p>
        </w:tc>
        <w:tc>
          <w:tcPr>
            <w:tcW w:w="259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3</w:t>
            </w:r>
          </w:p>
        </w:tc>
        <w:tc>
          <w:tcPr>
            <w:tcW w:w="103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叶志弘</w:t>
            </w:r>
          </w:p>
        </w:tc>
        <w:tc>
          <w:tcPr>
            <w:tcW w:w="2111"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浙江大学</w:t>
            </w:r>
          </w:p>
        </w:tc>
        <w:tc>
          <w:tcPr>
            <w:tcW w:w="16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教授</w:t>
            </w:r>
          </w:p>
        </w:tc>
        <w:tc>
          <w:tcPr>
            <w:tcW w:w="259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0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4</w:t>
            </w:r>
          </w:p>
        </w:tc>
        <w:tc>
          <w:tcPr>
            <w:tcW w:w="103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bCs/>
              </w:rPr>
            </w:pPr>
            <w:r>
              <w:rPr>
                <w:rFonts w:hint="eastAsia" w:ascii="宋体" w:hAnsi="宋体" w:eastAsia="宋体" w:cs="宋体"/>
              </w:rPr>
              <w:t>王</w:t>
            </w:r>
            <w:r>
              <w:rPr>
                <w:rFonts w:hint="eastAsia" w:ascii="宋体" w:hAnsi="宋体" w:eastAsia="宋体" w:cs="宋体"/>
                <w:lang w:val="en-US" w:eastAsia="zh-CN"/>
              </w:rPr>
              <w:t xml:space="preserve">  </w:t>
            </w:r>
            <w:r>
              <w:rPr>
                <w:rFonts w:hint="eastAsia" w:ascii="宋体" w:hAnsi="宋体" w:eastAsia="宋体" w:cs="宋体"/>
              </w:rPr>
              <w:t>薇</w:t>
            </w:r>
          </w:p>
        </w:tc>
        <w:tc>
          <w:tcPr>
            <w:tcW w:w="2111"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bCs/>
              </w:rPr>
            </w:pPr>
            <w:r>
              <w:rPr>
                <w:rFonts w:hint="eastAsia" w:ascii="宋体" w:hAnsi="宋体" w:eastAsia="宋体" w:cs="宋体"/>
              </w:rPr>
              <w:t>浙江大学</w:t>
            </w:r>
          </w:p>
        </w:tc>
        <w:tc>
          <w:tcPr>
            <w:tcW w:w="16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教授</w:t>
            </w:r>
          </w:p>
        </w:tc>
        <w:tc>
          <w:tcPr>
            <w:tcW w:w="259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5</w:t>
            </w:r>
          </w:p>
        </w:tc>
        <w:tc>
          <w:tcPr>
            <w:tcW w:w="103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bCs/>
              </w:rPr>
            </w:pPr>
            <w:r>
              <w:rPr>
                <w:rFonts w:hint="eastAsia" w:ascii="宋体" w:hAnsi="宋体" w:eastAsia="宋体" w:cs="宋体"/>
              </w:rPr>
              <w:t>金静芬</w:t>
            </w:r>
          </w:p>
        </w:tc>
        <w:tc>
          <w:tcPr>
            <w:tcW w:w="2111"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bCs/>
              </w:rPr>
            </w:pPr>
            <w:r>
              <w:rPr>
                <w:rFonts w:hint="eastAsia" w:ascii="宋体" w:hAnsi="宋体" w:eastAsia="宋体" w:cs="宋体"/>
              </w:rPr>
              <w:t>浙江大学</w:t>
            </w:r>
          </w:p>
        </w:tc>
        <w:tc>
          <w:tcPr>
            <w:tcW w:w="1680"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r>
              <w:rPr>
                <w:rFonts w:hint="eastAsia" w:ascii="宋体" w:hAnsi="宋体" w:eastAsia="宋体" w:cs="宋体"/>
              </w:rPr>
              <w:t>教授</w:t>
            </w:r>
          </w:p>
        </w:tc>
        <w:tc>
          <w:tcPr>
            <w:tcW w:w="2597" w:type="dxa"/>
          </w:tcPr>
          <w:p>
            <w:pPr>
              <w:keepNext w:val="0"/>
              <w:keepLines w:val="0"/>
              <w:pageBreakBefore w:val="0"/>
              <w:widowControl/>
              <w:kinsoku w:val="0"/>
              <w:wordWrap/>
              <w:overflowPunct/>
              <w:topLinePunct w:val="0"/>
              <w:autoSpaceDE w:val="0"/>
              <w:autoSpaceDN w:val="0"/>
              <w:bidi w:val="0"/>
              <w:adjustRightInd w:val="0"/>
              <w:snapToGrid w:val="0"/>
              <w:spacing w:line="276" w:lineRule="auto"/>
              <w:jc w:val="center"/>
              <w:textAlignment w:val="baseline"/>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8505" w:type="dxa"/>
            <w:gridSpan w:val="5"/>
            <w:tcBorders>
              <w:bottom w:val="single" w:color="auto" w:sz="4" w:space="0"/>
            </w:tcBorders>
            <w:vAlign w:val="center"/>
          </w:tcPr>
          <w:p>
            <w:pPr>
              <w:autoSpaceDE/>
              <w:autoSpaceDN/>
              <w:spacing w:line="360" w:lineRule="auto"/>
              <w:jc w:val="both"/>
              <w:rPr>
                <w:rFonts w:asciiTheme="majorEastAsia" w:hAnsiTheme="majorEastAsia" w:eastAsiaTheme="majorEastAsia" w:cstheme="majorEastAsia"/>
                <w:spacing w:val="42"/>
              </w:rPr>
            </w:pPr>
            <w:r>
              <w:rPr>
                <w:rFonts w:hint="eastAsia" w:asciiTheme="majorEastAsia" w:hAnsiTheme="majorEastAsia" w:eastAsiaTheme="majorEastAsia" w:cstheme="majorEastAsia"/>
                <w:spacing w:val="42"/>
              </w:rPr>
              <w:t>专家提出以下意见：</w:t>
            </w:r>
          </w:p>
          <w:p>
            <w:pPr>
              <w:autoSpaceDE/>
              <w:autoSpaceDN/>
              <w:spacing w:line="360" w:lineRule="auto"/>
              <w:ind w:left="216" w:leftChars="103" w:right="172" w:rightChars="82" w:firstLine="588" w:firstLineChars="200"/>
              <w:jc w:val="both"/>
              <w:rPr>
                <w:rFonts w:asciiTheme="majorEastAsia" w:hAnsiTheme="majorEastAsia" w:eastAsiaTheme="majorEastAsia" w:cstheme="majorEastAsia"/>
                <w:color w:val="auto"/>
                <w:spacing w:val="42"/>
              </w:rPr>
            </w:pPr>
            <w:r>
              <w:rPr>
                <w:rFonts w:hint="eastAsia" w:asciiTheme="majorEastAsia" w:hAnsiTheme="majorEastAsia" w:eastAsiaTheme="majorEastAsia" w:cstheme="majorEastAsia"/>
                <w:color w:val="auto"/>
                <w:spacing w:val="42"/>
              </w:rPr>
              <w:t>护理专业学位定位明确，培养目标强调以专业实践为导向、与护理实践职业领域密切相关，培养学生护理学及相关学科的专业知识、理论和技能，符合专业学位硕士的主体要求。该学位点设置了老年护理、危重症护理、急救护理、精神卫生护理等培养方向，紧扣护理实践的发展对专科人才的需求，并建设了高水平的导师队伍悉心指导研究生进行临床实践与科学研究，但导师存在年龄偏大的问题，建议持续优化导师队伍。</w:t>
            </w:r>
          </w:p>
          <w:p>
            <w:pPr>
              <w:autoSpaceDE/>
              <w:autoSpaceDN/>
              <w:spacing w:line="360" w:lineRule="auto"/>
              <w:ind w:right="172" w:rightChars="82" w:firstLine="588" w:firstLineChars="200"/>
              <w:jc w:val="both"/>
              <w:rPr>
                <w:rFonts w:asciiTheme="majorEastAsia" w:hAnsiTheme="majorEastAsia" w:eastAsiaTheme="majorEastAsia" w:cstheme="majorEastAsia"/>
                <w:color w:val="auto"/>
                <w:spacing w:val="42"/>
              </w:rPr>
            </w:pPr>
            <w:r>
              <w:rPr>
                <w:rFonts w:hint="eastAsia" w:asciiTheme="majorEastAsia" w:hAnsiTheme="majorEastAsia" w:eastAsiaTheme="majorEastAsia" w:cstheme="majorEastAsia"/>
                <w:color w:val="auto"/>
                <w:spacing w:val="42"/>
              </w:rPr>
              <w:t>该学位点课程设置符合要求，教师队伍结构合理，能够保障研究生的教学质量，但教师科研立项总数有待进一步增加。培养环节规范严谨，学生的培养方式符合临床护理实践要求。临床实践的设计体现护理硕士专业学位临床能力培养的要求。毕业论文的要求结构化清晰，可操作性强。培养过程、管理与保障、就业保障等均制定了周密的措施和方案，保证了培养质量。建议提升研究生生源质量，进一步优化研究生培养质量。</w:t>
            </w:r>
          </w:p>
          <w:p>
            <w:pPr>
              <w:autoSpaceDE/>
              <w:autoSpaceDN/>
              <w:spacing w:line="360" w:lineRule="auto"/>
              <w:ind w:right="172" w:rightChars="82" w:firstLine="588" w:firstLineChars="200"/>
              <w:jc w:val="both"/>
              <w:rPr>
                <w:rFonts w:hint="default" w:asciiTheme="majorEastAsia" w:hAnsiTheme="majorEastAsia" w:eastAsiaTheme="majorEastAsia" w:cstheme="majorEastAsia"/>
                <w:color w:val="auto"/>
                <w:spacing w:val="42"/>
                <w:lang w:val="en-US" w:eastAsia="zh-CN"/>
              </w:rPr>
            </w:pPr>
            <w:r>
              <w:rPr>
                <w:rFonts w:hint="eastAsia" w:asciiTheme="majorEastAsia" w:hAnsiTheme="majorEastAsia" w:eastAsiaTheme="majorEastAsia" w:cstheme="majorEastAsia"/>
                <w:color w:val="auto"/>
                <w:spacing w:val="42"/>
                <w:lang w:val="en-US" w:eastAsia="zh-CN"/>
              </w:rPr>
              <w:t>建议：1研究生导师结构层次中年龄偏大；2教师科研队伍科研项目数量和质量有待突破；3研究生生源质量需提升。</w:t>
            </w:r>
          </w:p>
          <w:p>
            <w:pPr>
              <w:pStyle w:val="2"/>
              <w:ind w:firstLine="280"/>
              <w:rPr>
                <w:lang w:eastAsia="zh-CN"/>
              </w:rPr>
            </w:pPr>
          </w:p>
        </w:tc>
      </w:tr>
    </w:tbl>
    <w:p>
      <w:pPr>
        <w:autoSpaceDE/>
        <w:autoSpaceDN/>
        <w:spacing w:line="360" w:lineRule="auto"/>
        <w:jc w:val="both"/>
        <w:rPr>
          <w:rFonts w:hint="eastAsia" w:asciiTheme="majorEastAsia" w:hAnsiTheme="majorEastAsia" w:eastAsiaTheme="majorEastAsia" w:cstheme="majorEastAsia"/>
          <w:sz w:val="28"/>
          <w:szCs w:val="28"/>
          <w:lang w:val="en-US" w:eastAsia="zh-CN"/>
        </w:rPr>
      </w:pP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3 </w:t>
      </w:r>
      <w:r>
        <w:rPr>
          <w:rFonts w:hint="eastAsia" w:asciiTheme="majorEastAsia" w:hAnsiTheme="majorEastAsia" w:eastAsiaTheme="majorEastAsia" w:cstheme="majorEastAsia"/>
          <w:sz w:val="28"/>
          <w:szCs w:val="28"/>
        </w:rPr>
        <w:t>20</w:t>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w:t>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t>月</w:t>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t>日前，根据校内外评估专家反馈意见，进一步修改完善自评报告，制定持续性改进计划。</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三、持续改进计划</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（一）学位授权点建设存在的主要问题</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专业学位导师队伍职称符合要求，但存在年龄偏大的问题。</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教师队伍高水平科研项目立项虽有突破，但其总量仍需提高。</w:t>
      </w:r>
    </w:p>
    <w:p>
      <w:pPr>
        <w:autoSpaceDE/>
        <w:autoSpaceDN/>
        <w:spacing w:line="360" w:lineRule="auto"/>
        <w:jc w:val="both"/>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研究生招生总量虽有所增加，但研究生生源质量仍需提升。</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（二）下一年度建设计划</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积极争取多方资源选派青年教师访学交流，有计划的开展临床青年骨干教师培训，将青年教师纳入导师组进行目标培养。纳入青年兼职导师共同培养研究生，逐步优化研究生导师队伍。</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优化研究生教师队伍科研立项激励机制，鼓励教师参加各类学术活动持续提升科研能力，举办各类培训提升教师提升项目书写质量，支持教师积极申报各级各类科研项目。</w:t>
      </w:r>
    </w:p>
    <w:p>
      <w:pPr>
        <w:autoSpaceDE/>
        <w:autoSpaceDN/>
        <w:spacing w:line="360" w:lineRule="auto"/>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加大研究生招生宣传力度，大力展示学校优越的办学条件及优秀研究生导师风采，吸引全国各地的优秀护理学子报考，提升研究生生源质量。</w:t>
      </w:r>
    </w:p>
    <w:p>
      <w:pPr>
        <w:tabs>
          <w:tab w:val="left" w:pos="902"/>
        </w:tabs>
        <w:autoSpaceDE/>
        <w:autoSpaceDN/>
        <w:spacing w:line="360" w:lineRule="auto"/>
        <w:jc w:val="both"/>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p>
    <w:sectPr>
      <w:footerReference r:id="rId3" w:type="default"/>
      <w:pgSz w:w="11910" w:h="16840"/>
      <w:pgMar w:top="1431" w:right="1730" w:bottom="1551" w:left="1786" w:header="0" w:footer="130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033"/>
      <w:rPr>
        <w:rFonts w:ascii="宋体" w:hAnsi="宋体" w:eastAsia="宋体" w:cs="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A8BAD"/>
    <w:multiLevelType w:val="singleLevel"/>
    <w:tmpl w:val="B4DA8BAD"/>
    <w:lvl w:ilvl="0" w:tentative="0">
      <w:start w:val="1"/>
      <w:numFmt w:val="decimal"/>
      <w:suff w:val="nothing"/>
      <w:lvlText w:val="（%1）"/>
      <w:lvlJc w:val="left"/>
    </w:lvl>
  </w:abstractNum>
  <w:abstractNum w:abstractNumId="1">
    <w:nsid w:val="FD11456E"/>
    <w:multiLevelType w:val="singleLevel"/>
    <w:tmpl w:val="FD11456E"/>
    <w:lvl w:ilvl="0" w:tentative="0">
      <w:start w:val="2"/>
      <w:numFmt w:val="decimal"/>
      <w:suff w:val="nothing"/>
      <w:lvlText w:val="（%1）"/>
      <w:lvlJc w:val="left"/>
    </w:lvl>
  </w:abstractNum>
  <w:abstractNum w:abstractNumId="2">
    <w:nsid w:val="51DDEC11"/>
    <w:multiLevelType w:val="singleLevel"/>
    <w:tmpl w:val="51DDEC1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4YTkwMjA0NWViY2FkZTc4MjczNjJhNThiZmFhMjUifQ=="/>
  </w:docVars>
  <w:rsids>
    <w:rsidRoot w:val="00172A27"/>
    <w:rsid w:val="00000B28"/>
    <w:rsid w:val="00057C5F"/>
    <w:rsid w:val="000B1C2F"/>
    <w:rsid w:val="000E3F5E"/>
    <w:rsid w:val="00127598"/>
    <w:rsid w:val="00141BEF"/>
    <w:rsid w:val="00156A2F"/>
    <w:rsid w:val="00172A27"/>
    <w:rsid w:val="001735CE"/>
    <w:rsid w:val="0018181C"/>
    <w:rsid w:val="001C2AA9"/>
    <w:rsid w:val="001E1AB7"/>
    <w:rsid w:val="001E4BA1"/>
    <w:rsid w:val="002701C1"/>
    <w:rsid w:val="00277B79"/>
    <w:rsid w:val="00294D0F"/>
    <w:rsid w:val="002C0B05"/>
    <w:rsid w:val="002D1418"/>
    <w:rsid w:val="003A2367"/>
    <w:rsid w:val="003F2C8C"/>
    <w:rsid w:val="003F440C"/>
    <w:rsid w:val="0043283D"/>
    <w:rsid w:val="00461FAC"/>
    <w:rsid w:val="004A394B"/>
    <w:rsid w:val="004C532E"/>
    <w:rsid w:val="004D1083"/>
    <w:rsid w:val="004D2144"/>
    <w:rsid w:val="004D4E24"/>
    <w:rsid w:val="004E3D4A"/>
    <w:rsid w:val="005251B2"/>
    <w:rsid w:val="005607B6"/>
    <w:rsid w:val="00574489"/>
    <w:rsid w:val="005A4AB4"/>
    <w:rsid w:val="005C7D57"/>
    <w:rsid w:val="005D3026"/>
    <w:rsid w:val="005D7D42"/>
    <w:rsid w:val="005F790E"/>
    <w:rsid w:val="006A3339"/>
    <w:rsid w:val="006B6A10"/>
    <w:rsid w:val="006C04BE"/>
    <w:rsid w:val="00724D6E"/>
    <w:rsid w:val="007437EE"/>
    <w:rsid w:val="00786959"/>
    <w:rsid w:val="007E4AA2"/>
    <w:rsid w:val="008152D2"/>
    <w:rsid w:val="00842FCC"/>
    <w:rsid w:val="00885F76"/>
    <w:rsid w:val="008C284C"/>
    <w:rsid w:val="008E028C"/>
    <w:rsid w:val="0097398B"/>
    <w:rsid w:val="0098290B"/>
    <w:rsid w:val="00A66A24"/>
    <w:rsid w:val="00A80B88"/>
    <w:rsid w:val="00A971A9"/>
    <w:rsid w:val="00AC3C2D"/>
    <w:rsid w:val="00B27379"/>
    <w:rsid w:val="00B32705"/>
    <w:rsid w:val="00B774C7"/>
    <w:rsid w:val="00BF645F"/>
    <w:rsid w:val="00C133A9"/>
    <w:rsid w:val="00C31A86"/>
    <w:rsid w:val="00C427DA"/>
    <w:rsid w:val="00C50527"/>
    <w:rsid w:val="00CE66F6"/>
    <w:rsid w:val="00CF6F94"/>
    <w:rsid w:val="00D641B6"/>
    <w:rsid w:val="00D9012D"/>
    <w:rsid w:val="00DF3BF9"/>
    <w:rsid w:val="00EA7102"/>
    <w:rsid w:val="00ED197F"/>
    <w:rsid w:val="00EF2E22"/>
    <w:rsid w:val="00F15FB2"/>
    <w:rsid w:val="00F44F20"/>
    <w:rsid w:val="00F651AA"/>
    <w:rsid w:val="00F74BC0"/>
    <w:rsid w:val="00FF4889"/>
    <w:rsid w:val="01195D18"/>
    <w:rsid w:val="017D36B5"/>
    <w:rsid w:val="01826A17"/>
    <w:rsid w:val="01D9247E"/>
    <w:rsid w:val="01F77461"/>
    <w:rsid w:val="02B25CD5"/>
    <w:rsid w:val="037B10A2"/>
    <w:rsid w:val="03900A0C"/>
    <w:rsid w:val="03CC1E33"/>
    <w:rsid w:val="042B5143"/>
    <w:rsid w:val="04472132"/>
    <w:rsid w:val="060B40E5"/>
    <w:rsid w:val="070D1DA7"/>
    <w:rsid w:val="0715438F"/>
    <w:rsid w:val="07AE1FE8"/>
    <w:rsid w:val="084C0263"/>
    <w:rsid w:val="0874698D"/>
    <w:rsid w:val="091A41AA"/>
    <w:rsid w:val="09614548"/>
    <w:rsid w:val="096A161E"/>
    <w:rsid w:val="097B5DB2"/>
    <w:rsid w:val="09DE4F0D"/>
    <w:rsid w:val="0A7B04A7"/>
    <w:rsid w:val="0A7B2883"/>
    <w:rsid w:val="0AF946D6"/>
    <w:rsid w:val="0C104FD7"/>
    <w:rsid w:val="0C725DE0"/>
    <w:rsid w:val="10582384"/>
    <w:rsid w:val="10A66451"/>
    <w:rsid w:val="10BC066F"/>
    <w:rsid w:val="10E25A59"/>
    <w:rsid w:val="118C1A8B"/>
    <w:rsid w:val="11CE710E"/>
    <w:rsid w:val="12495211"/>
    <w:rsid w:val="124A0E70"/>
    <w:rsid w:val="126F6B43"/>
    <w:rsid w:val="13201BEB"/>
    <w:rsid w:val="132C67E2"/>
    <w:rsid w:val="132D7EEA"/>
    <w:rsid w:val="13E37BC4"/>
    <w:rsid w:val="158C796B"/>
    <w:rsid w:val="16846C85"/>
    <w:rsid w:val="171F3B6A"/>
    <w:rsid w:val="181A30AD"/>
    <w:rsid w:val="188F0BCC"/>
    <w:rsid w:val="19DE26FD"/>
    <w:rsid w:val="1ACA5A2B"/>
    <w:rsid w:val="1BC761E2"/>
    <w:rsid w:val="1BD75223"/>
    <w:rsid w:val="1C520AA2"/>
    <w:rsid w:val="1C5928C3"/>
    <w:rsid w:val="1C600946"/>
    <w:rsid w:val="1CB100AF"/>
    <w:rsid w:val="1CBB297A"/>
    <w:rsid w:val="1D6C0388"/>
    <w:rsid w:val="1D7B5B78"/>
    <w:rsid w:val="1EB63404"/>
    <w:rsid w:val="1EE85D74"/>
    <w:rsid w:val="1F184743"/>
    <w:rsid w:val="1F196E7F"/>
    <w:rsid w:val="1F23660C"/>
    <w:rsid w:val="1F3233D2"/>
    <w:rsid w:val="1F6B0692"/>
    <w:rsid w:val="1FC16504"/>
    <w:rsid w:val="2065605C"/>
    <w:rsid w:val="21D10C1B"/>
    <w:rsid w:val="22A70AEE"/>
    <w:rsid w:val="22FA54D0"/>
    <w:rsid w:val="237A179D"/>
    <w:rsid w:val="238F24C1"/>
    <w:rsid w:val="24B146FC"/>
    <w:rsid w:val="25433E62"/>
    <w:rsid w:val="25C37B3C"/>
    <w:rsid w:val="26B55C1C"/>
    <w:rsid w:val="26F02BD6"/>
    <w:rsid w:val="270D0281"/>
    <w:rsid w:val="273B2EF7"/>
    <w:rsid w:val="273D6C9B"/>
    <w:rsid w:val="28277C72"/>
    <w:rsid w:val="283A6E54"/>
    <w:rsid w:val="28472193"/>
    <w:rsid w:val="28E36D09"/>
    <w:rsid w:val="28F33FB6"/>
    <w:rsid w:val="2AE078C0"/>
    <w:rsid w:val="2C1752F1"/>
    <w:rsid w:val="2CFC0B7C"/>
    <w:rsid w:val="2D7174AE"/>
    <w:rsid w:val="2D8B7970"/>
    <w:rsid w:val="2E5C1C33"/>
    <w:rsid w:val="2ED40002"/>
    <w:rsid w:val="2EE8585B"/>
    <w:rsid w:val="2F0324FC"/>
    <w:rsid w:val="2F6A7C36"/>
    <w:rsid w:val="2FE31AD2"/>
    <w:rsid w:val="30B959A7"/>
    <w:rsid w:val="311D13F9"/>
    <w:rsid w:val="31556AAC"/>
    <w:rsid w:val="327D2C65"/>
    <w:rsid w:val="32F522F5"/>
    <w:rsid w:val="330A6183"/>
    <w:rsid w:val="332633D4"/>
    <w:rsid w:val="337F42B4"/>
    <w:rsid w:val="33EB4F26"/>
    <w:rsid w:val="3412586D"/>
    <w:rsid w:val="34694467"/>
    <w:rsid w:val="34B70C03"/>
    <w:rsid w:val="34D1351F"/>
    <w:rsid w:val="352F439E"/>
    <w:rsid w:val="35F5622F"/>
    <w:rsid w:val="36195DA0"/>
    <w:rsid w:val="36681030"/>
    <w:rsid w:val="366F0610"/>
    <w:rsid w:val="369F74DC"/>
    <w:rsid w:val="37292508"/>
    <w:rsid w:val="379E6806"/>
    <w:rsid w:val="37B81B43"/>
    <w:rsid w:val="37BB5BFF"/>
    <w:rsid w:val="37D310B9"/>
    <w:rsid w:val="3870241E"/>
    <w:rsid w:val="39557F91"/>
    <w:rsid w:val="39574F90"/>
    <w:rsid w:val="3BB96966"/>
    <w:rsid w:val="3C817539"/>
    <w:rsid w:val="3CA0335F"/>
    <w:rsid w:val="3CF61143"/>
    <w:rsid w:val="3D4D1087"/>
    <w:rsid w:val="3D4F4CF8"/>
    <w:rsid w:val="3D531187"/>
    <w:rsid w:val="3DE91F16"/>
    <w:rsid w:val="3F8D5E16"/>
    <w:rsid w:val="3FDE588D"/>
    <w:rsid w:val="403648A5"/>
    <w:rsid w:val="40AF309F"/>
    <w:rsid w:val="40C56C9F"/>
    <w:rsid w:val="41371919"/>
    <w:rsid w:val="419378A9"/>
    <w:rsid w:val="41D87EB6"/>
    <w:rsid w:val="425F59DD"/>
    <w:rsid w:val="427156E3"/>
    <w:rsid w:val="428617AE"/>
    <w:rsid w:val="43742B30"/>
    <w:rsid w:val="43792ACE"/>
    <w:rsid w:val="440F7FBA"/>
    <w:rsid w:val="44BC6C7A"/>
    <w:rsid w:val="46BE24B9"/>
    <w:rsid w:val="47AA14A8"/>
    <w:rsid w:val="47DE1152"/>
    <w:rsid w:val="4825372B"/>
    <w:rsid w:val="48B3768C"/>
    <w:rsid w:val="48D07BD4"/>
    <w:rsid w:val="495039AE"/>
    <w:rsid w:val="497C0C22"/>
    <w:rsid w:val="4B72767C"/>
    <w:rsid w:val="4BB01506"/>
    <w:rsid w:val="4BDF193C"/>
    <w:rsid w:val="4DDC2B89"/>
    <w:rsid w:val="4E9F1552"/>
    <w:rsid w:val="4EB946C7"/>
    <w:rsid w:val="4F8D1DDB"/>
    <w:rsid w:val="4F9C007C"/>
    <w:rsid w:val="4FC45105"/>
    <w:rsid w:val="501E79F2"/>
    <w:rsid w:val="50377CEB"/>
    <w:rsid w:val="50A95553"/>
    <w:rsid w:val="50B909AE"/>
    <w:rsid w:val="50BC3FFA"/>
    <w:rsid w:val="50C75D50"/>
    <w:rsid w:val="50CA30C2"/>
    <w:rsid w:val="518F170F"/>
    <w:rsid w:val="52975DE1"/>
    <w:rsid w:val="52FB5D56"/>
    <w:rsid w:val="53F8183F"/>
    <w:rsid w:val="55380A6F"/>
    <w:rsid w:val="55393E6B"/>
    <w:rsid w:val="553B4087"/>
    <w:rsid w:val="566D64C3"/>
    <w:rsid w:val="569945BB"/>
    <w:rsid w:val="57C714AE"/>
    <w:rsid w:val="57F9642D"/>
    <w:rsid w:val="58731999"/>
    <w:rsid w:val="59172716"/>
    <w:rsid w:val="59A12331"/>
    <w:rsid w:val="59D6681C"/>
    <w:rsid w:val="5A831E7F"/>
    <w:rsid w:val="5A847B3D"/>
    <w:rsid w:val="5A933946"/>
    <w:rsid w:val="5B915FDD"/>
    <w:rsid w:val="5B9F617D"/>
    <w:rsid w:val="5C0447A8"/>
    <w:rsid w:val="5C0F5926"/>
    <w:rsid w:val="5C50399C"/>
    <w:rsid w:val="5D0A102A"/>
    <w:rsid w:val="5D144E72"/>
    <w:rsid w:val="5D635EF7"/>
    <w:rsid w:val="5D8D7951"/>
    <w:rsid w:val="5E4954C9"/>
    <w:rsid w:val="5EE17A4E"/>
    <w:rsid w:val="5F457F02"/>
    <w:rsid w:val="60B84799"/>
    <w:rsid w:val="60D77EF6"/>
    <w:rsid w:val="613A3445"/>
    <w:rsid w:val="623642AB"/>
    <w:rsid w:val="62BB7C17"/>
    <w:rsid w:val="638A3B5A"/>
    <w:rsid w:val="64212D65"/>
    <w:rsid w:val="64EA6406"/>
    <w:rsid w:val="64FD7EA4"/>
    <w:rsid w:val="65064640"/>
    <w:rsid w:val="655D5954"/>
    <w:rsid w:val="669E381F"/>
    <w:rsid w:val="66EC1AE5"/>
    <w:rsid w:val="678371C8"/>
    <w:rsid w:val="67A5464D"/>
    <w:rsid w:val="67CC7849"/>
    <w:rsid w:val="67D327F7"/>
    <w:rsid w:val="68F760C0"/>
    <w:rsid w:val="697F233D"/>
    <w:rsid w:val="699916F5"/>
    <w:rsid w:val="6A1A3581"/>
    <w:rsid w:val="6A3C4A9C"/>
    <w:rsid w:val="6A8866F1"/>
    <w:rsid w:val="6A911499"/>
    <w:rsid w:val="6AB9362D"/>
    <w:rsid w:val="6B2A5EB5"/>
    <w:rsid w:val="6B4F2A52"/>
    <w:rsid w:val="6B653CBB"/>
    <w:rsid w:val="6B71661A"/>
    <w:rsid w:val="6C3D3F24"/>
    <w:rsid w:val="6C6A0CBB"/>
    <w:rsid w:val="6CBF0CA2"/>
    <w:rsid w:val="6E3D6323"/>
    <w:rsid w:val="6E5D310B"/>
    <w:rsid w:val="6EB8009F"/>
    <w:rsid w:val="70512A60"/>
    <w:rsid w:val="705B6F34"/>
    <w:rsid w:val="712908FA"/>
    <w:rsid w:val="713A123F"/>
    <w:rsid w:val="71B46E5B"/>
    <w:rsid w:val="72B8066E"/>
    <w:rsid w:val="732D2E0A"/>
    <w:rsid w:val="732F669B"/>
    <w:rsid w:val="73A448D3"/>
    <w:rsid w:val="747D4A95"/>
    <w:rsid w:val="75120143"/>
    <w:rsid w:val="75525AE1"/>
    <w:rsid w:val="75BC227E"/>
    <w:rsid w:val="75D05CCE"/>
    <w:rsid w:val="762878B8"/>
    <w:rsid w:val="763E70DC"/>
    <w:rsid w:val="76B00978"/>
    <w:rsid w:val="76D33CC8"/>
    <w:rsid w:val="783A654E"/>
    <w:rsid w:val="78425A99"/>
    <w:rsid w:val="78F0649F"/>
    <w:rsid w:val="79037769"/>
    <w:rsid w:val="793E0EF5"/>
    <w:rsid w:val="7A410F49"/>
    <w:rsid w:val="7A5C60B0"/>
    <w:rsid w:val="7AAD163A"/>
    <w:rsid w:val="7B231068"/>
    <w:rsid w:val="7B4724DE"/>
    <w:rsid w:val="7BDB25E9"/>
    <w:rsid w:val="7C4B2553"/>
    <w:rsid w:val="7C5C1992"/>
    <w:rsid w:val="7CC83BA3"/>
    <w:rsid w:val="7D5F12DF"/>
    <w:rsid w:val="7E07301C"/>
    <w:rsid w:val="7E370FE0"/>
    <w:rsid w:val="7F1E08AF"/>
    <w:rsid w:val="7F604374"/>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rPr>
  </w:style>
  <w:style w:type="paragraph" w:styleId="3">
    <w:name w:val="Body Text"/>
    <w:basedOn w:val="1"/>
    <w:semiHidden/>
    <w:qFormat/>
    <w:uiPriority w:val="0"/>
    <w:rPr>
      <w:rFonts w:ascii="Times New Roman" w:hAnsi="Times New Roman" w:eastAsia="Times New Roman" w:cs="Times New Roman"/>
      <w:sz w:val="28"/>
      <w:szCs w:val="28"/>
      <w:lang w:eastAsia="en-US"/>
    </w:rPr>
  </w:style>
  <w:style w:type="paragraph" w:styleId="4">
    <w:name w:val="annotation text"/>
    <w:basedOn w:val="1"/>
    <w:qFormat/>
    <w:uiPriority w:val="0"/>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Autospacing="1" w:afterAutospacing="1"/>
    </w:pPr>
    <w:rPr>
      <w:rFonts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黑体" w:hAnsi="黑体" w:eastAsia="黑体" w:cs="黑体"/>
      <w:sz w:val="24"/>
      <w:szCs w:val="24"/>
      <w:lang w:eastAsia="en-US"/>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2675</Words>
  <Characters>15251</Characters>
  <Lines>127</Lines>
  <Paragraphs>35</Paragraphs>
  <TotalTime>9</TotalTime>
  <ScaleCrop>false</ScaleCrop>
  <LinksUpToDate>false</LinksUpToDate>
  <CharactersWithSpaces>17891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2023-10-17T15:05:00Z</dcterms:created>
  <dc:creator>Kingsoft-PDF</dc:creator>
  <cp:lastModifiedBy>哈哈too</cp:lastModifiedBy>
  <dcterms:modified xsi:type="dcterms:W3CDTF">2023-11-10T06:46:57Z</dcterms:modified>
  <dc:subject>pdfbuilder</dc:subject>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2023-10-17T15:05:41Z</vt:filetime>
  </property>
  <property fmtid="{D5CDD505-2E9C-101B-9397-08002B2CF9AE}" pid="4" name="UsrData">
    <vt:lpwstr>652e323cb5c3b50020b02ad2wl</vt:lpwstr>
  </property>
  <property fmtid="{D5CDD505-2E9C-101B-9397-08002B2CF9AE}" pid="5" name="KSOProductBuildVer">
    <vt:lpwstr>2052-12.1.0.15712</vt:lpwstr>
  </property>
  <property fmtid="{D5CDD505-2E9C-101B-9397-08002B2CF9AE}" pid="6" name="ICV">
    <vt:lpwstr>6504DCB0536B437F821E5C12D0B3168B_13</vt:lpwstr>
  </property>
</Properties>
</file>